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B02C7" w14:textId="77777777" w:rsidR="00FE65DA" w:rsidRDefault="0003662F" w:rsidP="006A784A">
      <w:pPr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7639185B" wp14:editId="0768611C">
            <wp:extent cx="895350" cy="1038225"/>
            <wp:effectExtent l="19050" t="0" r="0" b="0"/>
            <wp:docPr id="1" name="Obrázek 0" descr="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F65606" w14:textId="77777777" w:rsidR="00FE65DA" w:rsidRDefault="00B81095" w:rsidP="006A784A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622100" wp14:editId="3198CED3">
                <wp:simplePos x="0" y="0"/>
                <wp:positionH relativeFrom="column">
                  <wp:posOffset>-230505</wp:posOffset>
                </wp:positionH>
                <wp:positionV relativeFrom="paragraph">
                  <wp:posOffset>393065</wp:posOffset>
                </wp:positionV>
                <wp:extent cx="6083935" cy="0"/>
                <wp:effectExtent l="8890" t="8890" r="12700" b="1016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1CE2D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8.15pt;margin-top:30.95pt;width:479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D2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"/>
            </w:pict>
          </mc:Fallback>
        </mc:AlternateContent>
      </w:r>
      <w:smartTag w:uri="urn:schemas-microsoft-com:office:smarttags" w:element="PersonName">
        <w:smartTagPr>
          <w:attr w:name="ProductID" w:val="Městská část"/>
        </w:smartTagPr>
        <w:r w:rsidR="00FE65DA" w:rsidRPr="006F6B26">
          <w:rPr>
            <w:b/>
            <w:sz w:val="44"/>
            <w:szCs w:val="44"/>
          </w:rPr>
          <w:t>Městská část</w:t>
        </w:r>
      </w:smartTag>
      <w:r w:rsidR="00FE65DA" w:rsidRPr="006F6B26">
        <w:rPr>
          <w:b/>
          <w:sz w:val="44"/>
          <w:szCs w:val="44"/>
        </w:rPr>
        <w:t xml:space="preserve"> Praha</w:t>
      </w:r>
      <w:r w:rsidR="004E42FA">
        <w:rPr>
          <w:b/>
          <w:sz w:val="44"/>
          <w:szCs w:val="44"/>
        </w:rPr>
        <w:t>-</w:t>
      </w:r>
      <w:r w:rsidR="00FE65DA" w:rsidRPr="006F6B26">
        <w:rPr>
          <w:b/>
          <w:sz w:val="44"/>
          <w:szCs w:val="44"/>
        </w:rPr>
        <w:t>Čakovice</w:t>
      </w:r>
    </w:p>
    <w:p w14:paraId="194EF3D5" w14:textId="77777777" w:rsidR="00FE65DA" w:rsidRPr="005D5409" w:rsidRDefault="00FE65DA" w:rsidP="006A784A">
      <w:pPr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nám</w:t>
      </w:r>
      <w:r w:rsidR="003C438B">
        <w:rPr>
          <w:rFonts w:ascii="Arial" w:hAnsi="Arial" w:cs="Arial"/>
          <w:color w:val="000000"/>
          <w:sz w:val="17"/>
          <w:szCs w:val="17"/>
        </w:rPr>
        <w:t>ěstí</w:t>
      </w:r>
      <w:r>
        <w:rPr>
          <w:rFonts w:ascii="Arial" w:hAnsi="Arial" w:cs="Arial"/>
          <w:color w:val="000000"/>
          <w:sz w:val="17"/>
          <w:szCs w:val="17"/>
        </w:rPr>
        <w:t xml:space="preserve"> 25. března 121/1, 196 00 Praha 9</w:t>
      </w:r>
    </w:p>
    <w:p w14:paraId="04ECE915" w14:textId="77777777" w:rsidR="00C1220B" w:rsidRDefault="00C1220B" w:rsidP="006A784A">
      <w:pPr>
        <w:spacing w:before="480"/>
        <w:jc w:val="center"/>
        <w:rPr>
          <w:b/>
          <w:sz w:val="52"/>
          <w:szCs w:val="52"/>
          <w:u w:val="single"/>
        </w:rPr>
      </w:pPr>
    </w:p>
    <w:p w14:paraId="0FB66EAC" w14:textId="77777777" w:rsidR="00C1220B" w:rsidRDefault="00C1220B" w:rsidP="006A784A">
      <w:pPr>
        <w:spacing w:before="480"/>
        <w:jc w:val="center"/>
        <w:rPr>
          <w:b/>
          <w:sz w:val="52"/>
          <w:szCs w:val="52"/>
          <w:u w:val="single"/>
        </w:rPr>
      </w:pPr>
    </w:p>
    <w:p w14:paraId="64C07E1F" w14:textId="77777777" w:rsidR="00C1220B" w:rsidRDefault="00FE65DA" w:rsidP="006A784A">
      <w:pPr>
        <w:spacing w:before="480"/>
        <w:jc w:val="center"/>
        <w:rPr>
          <w:b/>
          <w:sz w:val="52"/>
          <w:szCs w:val="52"/>
          <w:u w:val="single"/>
        </w:rPr>
      </w:pPr>
      <w:r w:rsidRPr="006F6B26">
        <w:rPr>
          <w:b/>
          <w:sz w:val="52"/>
          <w:szCs w:val="52"/>
          <w:u w:val="single"/>
        </w:rPr>
        <w:t xml:space="preserve">Návrh </w:t>
      </w:r>
      <w:r w:rsidR="00BA3225">
        <w:rPr>
          <w:b/>
          <w:sz w:val="52"/>
          <w:szCs w:val="52"/>
          <w:u w:val="single"/>
        </w:rPr>
        <w:t xml:space="preserve">rozpočtu MČ </w:t>
      </w:r>
      <w:r w:rsidR="00C1220B">
        <w:rPr>
          <w:b/>
          <w:sz w:val="52"/>
          <w:szCs w:val="52"/>
          <w:u w:val="single"/>
        </w:rPr>
        <w:t>Praha</w:t>
      </w:r>
      <w:r w:rsidR="00E05139">
        <w:rPr>
          <w:b/>
          <w:sz w:val="52"/>
          <w:szCs w:val="52"/>
          <w:u w:val="single"/>
        </w:rPr>
        <w:t>-</w:t>
      </w:r>
      <w:r w:rsidR="00BA3225">
        <w:rPr>
          <w:b/>
          <w:sz w:val="52"/>
          <w:szCs w:val="52"/>
          <w:u w:val="single"/>
        </w:rPr>
        <w:t>Čakovice</w:t>
      </w:r>
    </w:p>
    <w:p w14:paraId="47B34999" w14:textId="57CB0D39" w:rsidR="00FE65DA" w:rsidRDefault="001B170C" w:rsidP="006A784A">
      <w:pPr>
        <w:spacing w:before="480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na rok 202</w:t>
      </w:r>
      <w:r w:rsidR="004468E7">
        <w:rPr>
          <w:b/>
          <w:sz w:val="52"/>
          <w:szCs w:val="52"/>
          <w:u w:val="single"/>
        </w:rPr>
        <w:t>6</w:t>
      </w:r>
    </w:p>
    <w:p w14:paraId="441B405C" w14:textId="77777777" w:rsidR="006610E1" w:rsidRDefault="006610E1" w:rsidP="006A784A">
      <w:pPr>
        <w:spacing w:before="480"/>
        <w:jc w:val="center"/>
        <w:rPr>
          <w:b/>
          <w:sz w:val="52"/>
          <w:szCs w:val="52"/>
          <w:u w:val="single"/>
        </w:rPr>
      </w:pPr>
    </w:p>
    <w:p w14:paraId="6480D1BA" w14:textId="77777777" w:rsidR="006610E1" w:rsidRPr="006610E1" w:rsidRDefault="006610E1" w:rsidP="006A784A">
      <w:pPr>
        <w:spacing w:before="480"/>
        <w:jc w:val="center"/>
        <w:rPr>
          <w:sz w:val="52"/>
          <w:szCs w:val="52"/>
        </w:rPr>
      </w:pPr>
      <w:r w:rsidRPr="006610E1">
        <w:rPr>
          <w:sz w:val="52"/>
          <w:szCs w:val="52"/>
        </w:rPr>
        <w:t>Ing. Michal Motyčka, Ph.D.</w:t>
      </w:r>
    </w:p>
    <w:p w14:paraId="3CFAB146" w14:textId="77777777" w:rsidR="00FE65DA" w:rsidRDefault="00941C33" w:rsidP="006A784A">
      <w:pPr>
        <w:spacing w:before="0" w:after="0" w:line="240" w:lineRule="auto"/>
        <w:jc w:val="both"/>
      </w:pPr>
      <w:r>
        <w:br w:type="page"/>
      </w:r>
    </w:p>
    <w:p w14:paraId="786FA910" w14:textId="77777777" w:rsidR="00FE65DA" w:rsidRDefault="00FE65DA" w:rsidP="006A784A">
      <w:pPr>
        <w:tabs>
          <w:tab w:val="left" w:pos="1560"/>
          <w:tab w:val="left" w:pos="6237"/>
        </w:tabs>
        <w:jc w:val="both"/>
        <w:rPr>
          <w:b/>
          <w:u w:val="single"/>
        </w:rPr>
      </w:pPr>
      <w:r>
        <w:rPr>
          <w:b/>
          <w:u w:val="single"/>
        </w:rPr>
        <w:lastRenderedPageBreak/>
        <w:t>Obsah:</w:t>
      </w:r>
    </w:p>
    <w:p w14:paraId="6EB5B475" w14:textId="77777777" w:rsidR="00FE65DA" w:rsidRDefault="00FE65DA" w:rsidP="006A784A">
      <w:pPr>
        <w:tabs>
          <w:tab w:val="left" w:pos="1560"/>
          <w:tab w:val="left" w:pos="6237"/>
        </w:tabs>
        <w:spacing w:before="0"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4E6588DB" w14:textId="25394449" w:rsidR="00A11E6A" w:rsidRDefault="00B2065D">
      <w:pPr>
        <w:pStyle w:val="Obsah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sz w:val="24"/>
          <w14:ligatures w14:val="standardContextual"/>
        </w:rPr>
      </w:pPr>
      <w:r>
        <w:rPr>
          <w:rFonts w:ascii="Arial" w:hAnsi="Arial" w:cs="Arial"/>
          <w:caps/>
        </w:rPr>
        <w:fldChar w:fldCharType="begin"/>
      </w:r>
      <w:r w:rsidR="00FE65DA">
        <w:rPr>
          <w:rFonts w:ascii="Arial" w:hAnsi="Arial" w:cs="Arial"/>
          <w:caps/>
        </w:rPr>
        <w:instrText xml:space="preserve"> TOC \o "1-3" \h \z \u </w:instrText>
      </w:r>
      <w:r>
        <w:rPr>
          <w:rFonts w:ascii="Arial" w:hAnsi="Arial" w:cs="Arial"/>
          <w:caps/>
        </w:rPr>
        <w:fldChar w:fldCharType="separate"/>
      </w:r>
      <w:hyperlink w:anchor="_Toc220164729" w:history="1">
        <w:r w:rsidR="00A11E6A" w:rsidRPr="00711A45">
          <w:rPr>
            <w:rStyle w:val="Hypertextovodkaz"/>
            <w:noProof/>
          </w:rPr>
          <w:t>1</w:t>
        </w:r>
        <w:r w:rsidR="00A11E6A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:sz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Návrh rozpočtu MČ Praha-Čakovice pro rok 2026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_Toc220164729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 w:rsidR="00B61C6B">
          <w:rPr>
            <w:noProof/>
            <w:webHidden/>
          </w:rPr>
          <w:t>3</w:t>
        </w:r>
        <w:r w:rsidR="00A11E6A">
          <w:rPr>
            <w:noProof/>
            <w:webHidden/>
          </w:rPr>
          <w:fldChar w:fldCharType="end"/>
        </w:r>
      </w:hyperlink>
    </w:p>
    <w:p w14:paraId="284018DF" w14:textId="349FA330" w:rsidR="00A11E6A" w:rsidRDefault="00B61C6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30" w:history="1">
        <w:r w:rsidR="00A11E6A" w:rsidRPr="00711A45">
          <w:rPr>
            <w:rStyle w:val="Hypertextovodkaz"/>
            <w:noProof/>
          </w:rPr>
          <w:t>1.1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Návrh rozpočtu pro rok 2026 – příjmy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_Toc220164730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A11E6A">
          <w:rPr>
            <w:noProof/>
            <w:webHidden/>
          </w:rPr>
          <w:fldChar w:fldCharType="end"/>
        </w:r>
      </w:hyperlink>
    </w:p>
    <w:p w14:paraId="3E06D849" w14:textId="33B27AD9" w:rsidR="00A11E6A" w:rsidRDefault="00B61C6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31" w:history="1">
        <w:r w:rsidR="00A11E6A" w:rsidRPr="00711A45">
          <w:rPr>
            <w:rStyle w:val="Hypertextovodkaz"/>
            <w:noProof/>
          </w:rPr>
          <w:t>1.2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Návrh rozpočtu pro rok 2026 - výdaje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_Toc220164731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A11E6A">
          <w:rPr>
            <w:noProof/>
            <w:webHidden/>
          </w:rPr>
          <w:fldChar w:fldCharType="end"/>
        </w:r>
      </w:hyperlink>
    </w:p>
    <w:p w14:paraId="27A447FB" w14:textId="14992CE3" w:rsidR="00A11E6A" w:rsidRDefault="00B61C6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32" w:history="1">
        <w:r w:rsidR="00A11E6A" w:rsidRPr="00711A45">
          <w:rPr>
            <w:rStyle w:val="Hypertextovodkaz"/>
            <w:noProof/>
          </w:rPr>
          <w:t>1.1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Komentář k návrhu rozpočtového výhledu MČ Praha-Čakovice do roku 2031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_Toc220164732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A11E6A">
          <w:rPr>
            <w:noProof/>
            <w:webHidden/>
          </w:rPr>
          <w:fldChar w:fldCharType="end"/>
        </w:r>
      </w:hyperlink>
    </w:p>
    <w:p w14:paraId="646A2B64" w14:textId="02ED1561" w:rsidR="00A11E6A" w:rsidRDefault="00B61C6B">
      <w:pPr>
        <w:pStyle w:val="Obsah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sz w:val="24"/>
          <w14:ligatures w14:val="standardContextual"/>
        </w:rPr>
      </w:pPr>
      <w:hyperlink w:anchor="_Toc220164733" w:history="1">
        <w:r w:rsidR="00A11E6A" w:rsidRPr="00711A45">
          <w:rPr>
            <w:rStyle w:val="Hypertextovodkaz"/>
            <w:noProof/>
          </w:rPr>
          <w:t>2</w:t>
        </w:r>
        <w:r w:rsidR="00A11E6A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:sz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Důvodová zpráva k návrhu rozpočtu MČ Praha-Čakovice pro rok 2026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_Toc220164733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A11E6A">
          <w:rPr>
            <w:noProof/>
            <w:webHidden/>
          </w:rPr>
          <w:fldChar w:fldCharType="end"/>
        </w:r>
      </w:hyperlink>
    </w:p>
    <w:p w14:paraId="580F98E8" w14:textId="7CE69ACF" w:rsidR="00A11E6A" w:rsidRDefault="00B61C6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34" w:history="1">
        <w:r w:rsidR="00A11E6A" w:rsidRPr="00711A45">
          <w:rPr>
            <w:rStyle w:val="Hypertextovodkaz"/>
            <w:noProof/>
          </w:rPr>
          <w:t>2.1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Bilance příjmů a výdajů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_Toc220164734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A11E6A">
          <w:rPr>
            <w:noProof/>
            <w:webHidden/>
          </w:rPr>
          <w:fldChar w:fldCharType="end"/>
        </w:r>
      </w:hyperlink>
    </w:p>
    <w:p w14:paraId="6969E69A" w14:textId="391D61A7" w:rsidR="00A11E6A" w:rsidRDefault="00B61C6B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35" w:history="1">
        <w:r w:rsidR="00A11E6A" w:rsidRPr="00711A45">
          <w:rPr>
            <w:rStyle w:val="Hypertextovodkaz"/>
            <w:noProof/>
          </w:rPr>
          <w:t>2.1.1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Financování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_Toc220164735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A11E6A">
          <w:rPr>
            <w:noProof/>
            <w:webHidden/>
          </w:rPr>
          <w:fldChar w:fldCharType="end"/>
        </w:r>
      </w:hyperlink>
    </w:p>
    <w:p w14:paraId="1EC0987C" w14:textId="7C8F0FE4" w:rsidR="00A11E6A" w:rsidRDefault="00B61C6B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36" w:history="1">
        <w:r w:rsidR="00A11E6A" w:rsidRPr="00711A45">
          <w:rPr>
            <w:rStyle w:val="Hypertextovodkaz"/>
            <w:noProof/>
          </w:rPr>
          <w:t>2.1.2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Přehled hlavních ukazatelů rozpočtu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_Toc220164736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A11E6A">
          <w:rPr>
            <w:noProof/>
            <w:webHidden/>
          </w:rPr>
          <w:fldChar w:fldCharType="end"/>
        </w:r>
      </w:hyperlink>
    </w:p>
    <w:p w14:paraId="5DA68E28" w14:textId="148E6663" w:rsidR="00A11E6A" w:rsidRDefault="00B61C6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37" w:history="1">
        <w:r w:rsidR="00A11E6A" w:rsidRPr="00711A45">
          <w:rPr>
            <w:rStyle w:val="Hypertextovodkaz"/>
            <w:noProof/>
          </w:rPr>
          <w:t>2.2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Příjmy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_Toc220164737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A11E6A">
          <w:rPr>
            <w:noProof/>
            <w:webHidden/>
          </w:rPr>
          <w:fldChar w:fldCharType="end"/>
        </w:r>
      </w:hyperlink>
    </w:p>
    <w:p w14:paraId="59A88ED0" w14:textId="6A0C3629" w:rsidR="00A11E6A" w:rsidRDefault="00B61C6B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38" w:history="1">
        <w:r w:rsidR="00A11E6A" w:rsidRPr="00711A45">
          <w:rPr>
            <w:rStyle w:val="Hypertextovodkaz"/>
            <w:noProof/>
          </w:rPr>
          <w:t>2.2.1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Běžné příjmy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_Toc220164738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A11E6A">
          <w:rPr>
            <w:noProof/>
            <w:webHidden/>
          </w:rPr>
          <w:fldChar w:fldCharType="end"/>
        </w:r>
      </w:hyperlink>
    </w:p>
    <w:p w14:paraId="327BAC30" w14:textId="5656F186" w:rsidR="00A11E6A" w:rsidRDefault="00B61C6B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39" w:history="1">
        <w:r w:rsidR="00A11E6A" w:rsidRPr="00711A45">
          <w:rPr>
            <w:rStyle w:val="Hypertextovodkaz"/>
            <w:noProof/>
          </w:rPr>
          <w:t>2.2.2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Kapitálové příjmy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_Toc220164739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A11E6A">
          <w:rPr>
            <w:noProof/>
            <w:webHidden/>
          </w:rPr>
          <w:fldChar w:fldCharType="end"/>
        </w:r>
      </w:hyperlink>
    </w:p>
    <w:p w14:paraId="4D89731F" w14:textId="268F4178" w:rsidR="00A11E6A" w:rsidRDefault="00B61C6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40" w:history="1">
        <w:r w:rsidR="00A11E6A" w:rsidRPr="00711A45">
          <w:rPr>
            <w:rStyle w:val="Hypertextovodkaz"/>
            <w:noProof/>
          </w:rPr>
          <w:t>2.3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Výdaje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_Toc220164740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A11E6A">
          <w:rPr>
            <w:noProof/>
            <w:webHidden/>
          </w:rPr>
          <w:fldChar w:fldCharType="end"/>
        </w:r>
      </w:hyperlink>
    </w:p>
    <w:p w14:paraId="2D124341" w14:textId="0CA8D493" w:rsidR="00A11E6A" w:rsidRDefault="00B61C6B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41" w:history="1">
        <w:r w:rsidR="00A11E6A" w:rsidRPr="00711A45">
          <w:rPr>
            <w:rStyle w:val="Hypertextovodkaz"/>
            <w:noProof/>
          </w:rPr>
          <w:t>2.3.1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Běžné výdaje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_Toc220164741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A11E6A">
          <w:rPr>
            <w:noProof/>
            <w:webHidden/>
          </w:rPr>
          <w:fldChar w:fldCharType="end"/>
        </w:r>
      </w:hyperlink>
    </w:p>
    <w:p w14:paraId="30AAEA08" w14:textId="6151FA33" w:rsidR="00A11E6A" w:rsidRDefault="00B61C6B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42" w:history="1">
        <w:r w:rsidR="00A11E6A" w:rsidRPr="00711A45">
          <w:rPr>
            <w:rStyle w:val="Hypertextovodkaz"/>
            <w:noProof/>
          </w:rPr>
          <w:t>2.3.2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Kapitálové výdaje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_Toc220164742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A11E6A">
          <w:rPr>
            <w:noProof/>
            <w:webHidden/>
          </w:rPr>
          <w:fldChar w:fldCharType="end"/>
        </w:r>
      </w:hyperlink>
    </w:p>
    <w:p w14:paraId="27E11172" w14:textId="73521F3F" w:rsidR="00A11E6A" w:rsidRDefault="00B61C6B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164743" w:history="1">
        <w:r w:rsidR="00A11E6A" w:rsidRPr="00711A45">
          <w:rPr>
            <w:rStyle w:val="Hypertextovodkaz"/>
            <w:noProof/>
          </w:rPr>
          <w:t>2.3.3</w:t>
        </w:r>
        <w:r w:rsidR="00A11E6A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Zaměstnanecký fond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_Toc220164743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A11E6A">
          <w:rPr>
            <w:noProof/>
            <w:webHidden/>
          </w:rPr>
          <w:fldChar w:fldCharType="end"/>
        </w:r>
      </w:hyperlink>
    </w:p>
    <w:p w14:paraId="00670268" w14:textId="11EDC40A" w:rsidR="00A11E6A" w:rsidRDefault="00B61C6B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20164744" w:history="1">
        <w:r w:rsidR="00A11E6A" w:rsidRPr="00711A45">
          <w:rPr>
            <w:rStyle w:val="Hypertextovodkaz"/>
            <w:noProof/>
          </w:rPr>
          <w:t>2.4</w:t>
        </w:r>
        <w:r w:rsidR="00A11E6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11E6A" w:rsidRPr="00711A45">
          <w:rPr>
            <w:rStyle w:val="Hypertextovodkaz"/>
            <w:noProof/>
          </w:rPr>
          <w:t>Vedlejší hospodářská činnost</w:t>
        </w:r>
        <w:r w:rsidR="00A11E6A">
          <w:rPr>
            <w:noProof/>
            <w:webHidden/>
          </w:rPr>
          <w:tab/>
        </w:r>
        <w:r w:rsidR="00A11E6A">
          <w:rPr>
            <w:noProof/>
            <w:webHidden/>
          </w:rPr>
          <w:fldChar w:fldCharType="begin"/>
        </w:r>
        <w:r w:rsidR="00A11E6A">
          <w:rPr>
            <w:noProof/>
            <w:webHidden/>
          </w:rPr>
          <w:instrText xml:space="preserve"> PAGEREF _Toc220164744 \h </w:instrText>
        </w:r>
        <w:r w:rsidR="00A11E6A">
          <w:rPr>
            <w:noProof/>
            <w:webHidden/>
          </w:rPr>
        </w:r>
        <w:r w:rsidR="00A11E6A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A11E6A">
          <w:rPr>
            <w:noProof/>
            <w:webHidden/>
          </w:rPr>
          <w:fldChar w:fldCharType="end"/>
        </w:r>
      </w:hyperlink>
    </w:p>
    <w:p w14:paraId="469CAADE" w14:textId="0AD407E8" w:rsidR="00FE65DA" w:rsidRPr="00144FA4" w:rsidRDefault="00B2065D" w:rsidP="00A11E6A">
      <w:pPr>
        <w:pStyle w:val="Nadpis1"/>
        <w:numPr>
          <w:ilvl w:val="0"/>
          <w:numId w:val="0"/>
        </w:numPr>
      </w:pPr>
      <w:r>
        <w:rPr>
          <w:rFonts w:ascii="Arial" w:hAnsi="Arial" w:cs="Arial"/>
          <w:i/>
          <w:iCs/>
          <w:caps/>
          <w:sz w:val="20"/>
          <w:szCs w:val="24"/>
        </w:rPr>
        <w:fldChar w:fldCharType="end"/>
      </w:r>
      <w:r w:rsidR="00FE65DA">
        <w:br w:type="page"/>
      </w:r>
      <w:bookmarkStart w:id="1" w:name="_Ref93694995"/>
      <w:bookmarkStart w:id="2" w:name="_Toc220164729"/>
      <w:r w:rsidR="00A11E6A" w:rsidRPr="00A11E6A">
        <w:rPr>
          <w:u w:val="none"/>
        </w:rPr>
        <w:lastRenderedPageBreak/>
        <w:t>1</w:t>
      </w:r>
      <w:r w:rsidR="00A11E6A" w:rsidRPr="00A11E6A">
        <w:rPr>
          <w:u w:val="none"/>
        </w:rPr>
        <w:tab/>
      </w:r>
      <w:r w:rsidR="00FE65DA">
        <w:t xml:space="preserve">Návrh rozpočtu </w:t>
      </w:r>
      <w:r w:rsidR="009552EB">
        <w:t xml:space="preserve">MČ Praha-Čakovice </w:t>
      </w:r>
      <w:r w:rsidR="00FE65DA">
        <w:t>pro rok 20</w:t>
      </w:r>
      <w:r w:rsidR="00C9031C">
        <w:t>2</w:t>
      </w:r>
      <w:bookmarkEnd w:id="1"/>
      <w:r w:rsidR="004468E7">
        <w:t>6</w:t>
      </w:r>
      <w:bookmarkEnd w:id="2"/>
    </w:p>
    <w:p w14:paraId="0353ED9B" w14:textId="7FE91E33" w:rsidR="00FE65DA" w:rsidRDefault="00FE65DA" w:rsidP="006A784A">
      <w:pPr>
        <w:pStyle w:val="Nadpis2"/>
        <w:jc w:val="both"/>
      </w:pPr>
      <w:bookmarkStart w:id="3" w:name="_Toc317112279"/>
      <w:bookmarkStart w:id="4" w:name="_Toc317113047"/>
      <w:bookmarkStart w:id="5" w:name="_Toc317117075"/>
      <w:bookmarkStart w:id="6" w:name="_Toc220164730"/>
      <w:bookmarkEnd w:id="3"/>
      <w:bookmarkEnd w:id="4"/>
      <w:bookmarkEnd w:id="5"/>
      <w:r>
        <w:t>N</w:t>
      </w:r>
      <w:r w:rsidR="00C9031C">
        <w:t>ávrh rozpočtu pro rok 202</w:t>
      </w:r>
      <w:r w:rsidR="004468E7">
        <w:t>6</w:t>
      </w:r>
      <w:r>
        <w:t xml:space="preserve"> – příjmy</w:t>
      </w:r>
      <w:bookmarkEnd w:id="6"/>
    </w:p>
    <w:p w14:paraId="45CEF673" w14:textId="067A4B05" w:rsidR="00986D9D" w:rsidRPr="009552EB" w:rsidRDefault="00FE65DA" w:rsidP="006A784A">
      <w:pPr>
        <w:pStyle w:val="Titulek"/>
        <w:spacing w:after="0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1</w:t>
      </w:r>
      <w:r w:rsidR="00B2065D" w:rsidRPr="009552EB">
        <w:rPr>
          <w:sz w:val="24"/>
          <w:szCs w:val="24"/>
        </w:rPr>
        <w:fldChar w:fldCharType="end"/>
      </w:r>
      <w:r w:rsidR="00C9031C" w:rsidRPr="009552EB">
        <w:rPr>
          <w:sz w:val="24"/>
          <w:szCs w:val="24"/>
        </w:rPr>
        <w:t xml:space="preserve"> Návrh rozpočtu pro rok 202</w:t>
      </w:r>
      <w:r w:rsidR="002E6480">
        <w:rPr>
          <w:sz w:val="24"/>
          <w:szCs w:val="24"/>
        </w:rPr>
        <w:t>6</w:t>
      </w:r>
      <w:r w:rsidR="00986D9D" w:rsidRPr="009552EB">
        <w:rPr>
          <w:sz w:val="24"/>
          <w:szCs w:val="24"/>
        </w:rPr>
        <w:t xml:space="preserve"> – PŘÍJMY</w:t>
      </w:r>
    </w:p>
    <w:p w14:paraId="2FD17AE3" w14:textId="450C37BB" w:rsidR="00C663E0" w:rsidRDefault="006449D6" w:rsidP="00270E8B">
      <w:pPr>
        <w:jc w:val="center"/>
      </w:pPr>
      <w:r w:rsidRPr="006449D6">
        <w:rPr>
          <w:noProof/>
        </w:rPr>
        <w:drawing>
          <wp:inline distT="0" distB="0" distL="0" distR="0" wp14:anchorId="00C2D2E9" wp14:editId="2DCB937B">
            <wp:extent cx="5977255" cy="5297805"/>
            <wp:effectExtent l="19050" t="19050" r="23495" b="17145"/>
            <wp:docPr id="4901448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1448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52978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643088" w14:textId="77777777" w:rsidR="002033EB" w:rsidRDefault="002033EB" w:rsidP="00C663E0">
      <w:pPr>
        <w:jc w:val="center"/>
      </w:pPr>
    </w:p>
    <w:p w14:paraId="28A6919F" w14:textId="77777777" w:rsidR="004173A7" w:rsidRDefault="002033EB" w:rsidP="00C663E0">
      <w:pPr>
        <w:jc w:val="center"/>
      </w:pPr>
      <w:r>
        <w:br w:type="page"/>
      </w:r>
    </w:p>
    <w:p w14:paraId="192D4DCA" w14:textId="20AD22C2" w:rsidR="00FE65DA" w:rsidRPr="00144FA4" w:rsidRDefault="00C9031C" w:rsidP="006A784A">
      <w:pPr>
        <w:pStyle w:val="Nadpis2"/>
        <w:jc w:val="both"/>
      </w:pPr>
      <w:bookmarkStart w:id="7" w:name="_Toc220164731"/>
      <w:r>
        <w:lastRenderedPageBreak/>
        <w:t>Návrh rozpočtu pro rok 202</w:t>
      </w:r>
      <w:r w:rsidR="004468E7">
        <w:t>6</w:t>
      </w:r>
      <w:r w:rsidR="00FE65DA">
        <w:t xml:space="preserve"> - výdaje</w:t>
      </w:r>
      <w:bookmarkEnd w:id="7"/>
    </w:p>
    <w:p w14:paraId="7A0E0DBB" w14:textId="75E479FE" w:rsidR="00FE65DA" w:rsidRDefault="00FE65DA" w:rsidP="006A784A">
      <w:pPr>
        <w:pStyle w:val="Titulek"/>
        <w:spacing w:after="0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2</w:t>
      </w:r>
      <w:r w:rsidR="00B2065D" w:rsidRPr="009552EB">
        <w:rPr>
          <w:sz w:val="24"/>
          <w:szCs w:val="24"/>
        </w:rPr>
        <w:fldChar w:fldCharType="end"/>
      </w:r>
      <w:r w:rsidR="00C9031C" w:rsidRPr="009552EB">
        <w:rPr>
          <w:sz w:val="24"/>
          <w:szCs w:val="24"/>
        </w:rPr>
        <w:t xml:space="preserve"> Návrh rozpočtu pro rok 202</w:t>
      </w:r>
      <w:r w:rsidR="004468E7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– VÝDAJE BĚŽNÉ</w:t>
      </w:r>
    </w:p>
    <w:tbl>
      <w:tblPr>
        <w:tblW w:w="90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5516"/>
        <w:gridCol w:w="2254"/>
      </w:tblGrid>
      <w:tr w:rsidR="00346471" w:rsidRPr="00346471" w14:paraId="1CF209B1" w14:textId="77777777" w:rsidTr="003D19BF">
        <w:trPr>
          <w:trHeight w:val="257"/>
        </w:trPr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554A5B7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i/>
                <w:iCs/>
                <w:sz w:val="18"/>
                <w:szCs w:val="18"/>
              </w:rPr>
              <w:t>oddíl §</w:t>
            </w:r>
          </w:p>
        </w:tc>
        <w:tc>
          <w:tcPr>
            <w:tcW w:w="55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B664987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i/>
                <w:iCs/>
                <w:sz w:val="18"/>
                <w:szCs w:val="18"/>
              </w:rPr>
              <w:t>Název položky</w:t>
            </w:r>
          </w:p>
        </w:tc>
        <w:tc>
          <w:tcPr>
            <w:tcW w:w="22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center"/>
            <w:hideMark/>
          </w:tcPr>
          <w:p w14:paraId="7E1F9708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i/>
                <w:iCs/>
                <w:sz w:val="18"/>
                <w:szCs w:val="18"/>
              </w:rPr>
              <w:t>Návrh rozpočtu 2026</w:t>
            </w:r>
          </w:p>
        </w:tc>
      </w:tr>
      <w:tr w:rsidR="00346471" w:rsidRPr="00346471" w14:paraId="100D74DD" w14:textId="77777777" w:rsidTr="003D19BF">
        <w:trPr>
          <w:trHeight w:val="259"/>
        </w:trPr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817A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E54F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6AE62F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46471" w:rsidRPr="00346471" w14:paraId="5FF749C2" w14:textId="77777777" w:rsidTr="003D19BF">
        <w:trPr>
          <w:trHeight w:val="257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99CCFF"/>
            <w:noWrap/>
            <w:vAlign w:val="center"/>
            <w:hideMark/>
          </w:tcPr>
          <w:p w14:paraId="6F490951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46471">
              <w:rPr>
                <w:rFonts w:cs="Calibri"/>
                <w:b/>
                <w:bCs/>
                <w:sz w:val="24"/>
                <w:szCs w:val="24"/>
              </w:rPr>
              <w:t>Běžné výdaje</w:t>
            </w:r>
          </w:p>
        </w:tc>
      </w:tr>
      <w:tr w:rsidR="00346471" w:rsidRPr="00346471" w14:paraId="13240534" w14:textId="77777777" w:rsidTr="003D19BF">
        <w:trPr>
          <w:trHeight w:val="257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2CD56F85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color w:val="FFFFFF"/>
                <w:sz w:val="18"/>
                <w:szCs w:val="18"/>
              </w:rPr>
              <w:t>02., 03. MĚSTSKÁ INFRASTRUKTURA</w:t>
            </w:r>
          </w:p>
        </w:tc>
      </w:tr>
      <w:tr w:rsidR="00346471" w:rsidRPr="00346471" w14:paraId="6AA5133C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6518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2212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3551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silnice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937F8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 xml:space="preserve">             3 348 700,00 Kč </w:t>
            </w:r>
          </w:p>
        </w:tc>
      </w:tr>
      <w:tr w:rsidR="00346471" w:rsidRPr="00346471" w14:paraId="553E95E4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E573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2219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41E4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ostatní záležitosti pozemních komunikací (chodníky)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6D538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6 095 000,00 Kč</w:t>
            </w:r>
          </w:p>
        </w:tc>
      </w:tr>
      <w:tr w:rsidR="00346471" w:rsidRPr="00346471" w14:paraId="19F7DB51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2FC8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2221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F156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provoz veřejné silniční dopravy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93660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40 000,00 Kč</w:t>
            </w:r>
          </w:p>
        </w:tc>
      </w:tr>
      <w:tr w:rsidR="00346471" w:rsidRPr="00346471" w14:paraId="1C143A0E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6F1E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2241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B0AE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železnice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AFACB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500 000,00 Kč</w:t>
            </w:r>
          </w:p>
        </w:tc>
      </w:tr>
      <w:tr w:rsidR="00346471" w:rsidRPr="00346471" w14:paraId="5C483819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EBC0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2310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F539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pitná voda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768B1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5 000,00 Kč</w:t>
            </w:r>
          </w:p>
        </w:tc>
      </w:tr>
      <w:tr w:rsidR="00346471" w:rsidRPr="00346471" w14:paraId="79B6C1C2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0334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3421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BFD9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využití volného času dětí a mládeže (dětská hřiště)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CDF7F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2 263 000,00 Kč</w:t>
            </w:r>
          </w:p>
        </w:tc>
      </w:tr>
      <w:tr w:rsidR="00346471" w:rsidRPr="00346471" w14:paraId="75BD4D3D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1946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3722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7E8D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sběr a svoz komunálního odpadu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5C541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600 000,00 Kč</w:t>
            </w:r>
          </w:p>
        </w:tc>
      </w:tr>
      <w:tr w:rsidR="00346471" w:rsidRPr="00346471" w14:paraId="2EE7FDBF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1C76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3745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CC15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péče o vzhled obcí a veřejnou zeleň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32D26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32 331 800,00 Kč</w:t>
            </w:r>
          </w:p>
        </w:tc>
      </w:tr>
      <w:tr w:rsidR="00346471" w:rsidRPr="00346471" w14:paraId="7BF474CB" w14:textId="77777777" w:rsidTr="003D19BF">
        <w:trPr>
          <w:trHeight w:val="269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14FE544B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color w:val="FFFFFF"/>
                <w:sz w:val="18"/>
                <w:szCs w:val="18"/>
              </w:rPr>
              <w:t>04. ŠKOLSTVÍ + SPORT</w:t>
            </w:r>
          </w:p>
        </w:tc>
      </w:tr>
      <w:tr w:rsidR="00346471" w:rsidRPr="00346471" w14:paraId="6E6829DC" w14:textId="77777777" w:rsidTr="003D19BF">
        <w:trPr>
          <w:trHeight w:val="257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8EBF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3111</w:t>
            </w:r>
          </w:p>
        </w:tc>
        <w:tc>
          <w:tcPr>
            <w:tcW w:w="5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3118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 xml:space="preserve">MŠ školství - </w:t>
            </w:r>
            <w:proofErr w:type="spellStart"/>
            <w:r w:rsidRPr="00346471">
              <w:rPr>
                <w:rFonts w:cs="Calibri"/>
                <w:sz w:val="18"/>
                <w:szCs w:val="18"/>
              </w:rPr>
              <w:t>opravy,služby</w:t>
            </w:r>
            <w:proofErr w:type="spellEnd"/>
            <w:r w:rsidRPr="00346471">
              <w:rPr>
                <w:rFonts w:cs="Calibri"/>
                <w:sz w:val="18"/>
                <w:szCs w:val="18"/>
              </w:rPr>
              <w:t xml:space="preserve"> na budovách, drobný hmotný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E3B5D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1 683 600,00 Kč</w:t>
            </w:r>
          </w:p>
        </w:tc>
      </w:tr>
      <w:tr w:rsidR="00346471" w:rsidRPr="00346471" w14:paraId="6AB39785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DD47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3111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A61C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 xml:space="preserve">MŠ Čakovice I provoz příspěvek MČ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C7EA7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8 553 500,00 Kč</w:t>
            </w:r>
          </w:p>
        </w:tc>
      </w:tr>
      <w:tr w:rsidR="00346471" w:rsidRPr="00346471" w14:paraId="18954B09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B4C4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3111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88CF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 xml:space="preserve">MŠ Čakovice II provoz příspěvek MČ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C6397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5 306 000,00 Kč</w:t>
            </w:r>
          </w:p>
        </w:tc>
      </w:tr>
      <w:tr w:rsidR="00346471" w:rsidRPr="00346471" w14:paraId="3622A49E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4E12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3111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CC0C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 xml:space="preserve">MŠ Čakovice III provoz příspěvek MČ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FDB72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6 533 000,00 Kč</w:t>
            </w:r>
          </w:p>
        </w:tc>
      </w:tr>
      <w:tr w:rsidR="00346471" w:rsidRPr="00346471" w14:paraId="78E495E4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1325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3113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52CC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 xml:space="preserve">ZŠ školství </w:t>
            </w:r>
            <w:proofErr w:type="spellStart"/>
            <w:r w:rsidRPr="00346471">
              <w:rPr>
                <w:rFonts w:cs="Calibri"/>
                <w:sz w:val="18"/>
                <w:szCs w:val="18"/>
              </w:rPr>
              <w:t>opravy,služby</w:t>
            </w:r>
            <w:proofErr w:type="spellEnd"/>
            <w:r w:rsidRPr="00346471">
              <w:rPr>
                <w:rFonts w:cs="Calibri"/>
                <w:sz w:val="18"/>
                <w:szCs w:val="18"/>
              </w:rPr>
              <w:t xml:space="preserve"> na budovách, drobný hmotný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64C93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1 183 000,00 Kč</w:t>
            </w:r>
          </w:p>
        </w:tc>
      </w:tr>
      <w:tr w:rsidR="00346471" w:rsidRPr="00346471" w14:paraId="4B00927A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3AA5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3113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BEA8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 xml:space="preserve">ZŠ Čakovice provoz příspěvek MČ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C1078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46 077 000,00 Kč</w:t>
            </w:r>
          </w:p>
        </w:tc>
      </w:tr>
      <w:tr w:rsidR="00346471" w:rsidRPr="00346471" w14:paraId="5ED62EF6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25B7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3121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BDB0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ostatní záležitosti vzdělávání - gymnázium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0EB79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300 000,00 Kč</w:t>
            </w:r>
          </w:p>
        </w:tc>
      </w:tr>
      <w:tr w:rsidR="00346471" w:rsidRPr="00346471" w14:paraId="05D05C63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8170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3122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7902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Střední odborné školy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D1AF8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100 000,00 Kč</w:t>
            </w:r>
          </w:p>
        </w:tc>
      </w:tr>
      <w:tr w:rsidR="00346471" w:rsidRPr="00346471" w14:paraId="0818DEFF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EF99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3231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8BD0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Základní umělecké školy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86C20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200 000,00 Kč</w:t>
            </w:r>
          </w:p>
        </w:tc>
      </w:tr>
      <w:tr w:rsidR="00346471" w:rsidRPr="00346471" w14:paraId="76FF7EAC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882C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3233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C7EA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středisko volného času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D443B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200 000,00 Kč</w:t>
            </w:r>
          </w:p>
        </w:tc>
      </w:tr>
      <w:tr w:rsidR="00346471" w:rsidRPr="00346471" w14:paraId="2031633C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7469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3412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B796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sportovní zařízení v majetku obce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8CE5C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1 465 200,00 Kč</w:t>
            </w:r>
          </w:p>
        </w:tc>
      </w:tr>
      <w:tr w:rsidR="00346471" w:rsidRPr="00346471" w14:paraId="45AAECEA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B709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3419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9DA0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ostatní tělovýchovná činnost - spolky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5D64B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2 500 000,00 Kč</w:t>
            </w:r>
          </w:p>
        </w:tc>
      </w:tr>
      <w:tr w:rsidR="00346471" w:rsidRPr="00346471" w14:paraId="0D28A262" w14:textId="77777777" w:rsidTr="003D19BF">
        <w:trPr>
          <w:trHeight w:val="257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494F958A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color w:val="FFFFFF"/>
                <w:sz w:val="18"/>
                <w:szCs w:val="18"/>
              </w:rPr>
              <w:t>5. ZDRAVOTNICTVÍ A SOCIÁLNÍ PÉČE</w:t>
            </w:r>
          </w:p>
        </w:tc>
      </w:tr>
      <w:tr w:rsidR="00346471" w:rsidRPr="00346471" w14:paraId="66DB4861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3582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4372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A700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krizová pomoc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A7EB2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46471" w:rsidRPr="00346471" w14:paraId="513765B8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A9A7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4359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1B2C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ostatní služby a činnosti v oblasti soc. péče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846F8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46471" w:rsidRPr="00346471" w14:paraId="7EF60858" w14:textId="77777777" w:rsidTr="003D19BF">
        <w:trPr>
          <w:trHeight w:val="257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55462493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color w:val="FFFFFF"/>
                <w:sz w:val="18"/>
                <w:szCs w:val="18"/>
              </w:rPr>
              <w:t>06. KULTURA A CESTOVNÍ RUCH</w:t>
            </w:r>
          </w:p>
        </w:tc>
      </w:tr>
      <w:tr w:rsidR="00346471" w:rsidRPr="00346471" w14:paraId="5C0A694C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1C38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3314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5AC0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knihovny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43963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1 006 400,00 Kč</w:t>
            </w:r>
          </w:p>
        </w:tc>
      </w:tr>
      <w:tr w:rsidR="00346471" w:rsidRPr="00346471" w14:paraId="51D1F704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7CC0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3319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9A0E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ostatní záležitosti kultury - spolky, Sýpka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EEFCA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991 700,00 Kč</w:t>
            </w:r>
          </w:p>
        </w:tc>
      </w:tr>
      <w:tr w:rsidR="00346471" w:rsidRPr="00346471" w14:paraId="4908B5CB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3E19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3399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49A0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 xml:space="preserve">ostatní záležitosti kultury, církví a sděl. </w:t>
            </w:r>
            <w:proofErr w:type="spellStart"/>
            <w:r w:rsidRPr="00346471">
              <w:rPr>
                <w:rFonts w:cs="Calibri"/>
                <w:sz w:val="18"/>
                <w:szCs w:val="18"/>
              </w:rPr>
              <w:t>prostř</w:t>
            </w:r>
            <w:proofErr w:type="spellEnd"/>
            <w:r w:rsidRPr="00346471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28BC5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500 000,00 Kč</w:t>
            </w:r>
          </w:p>
        </w:tc>
      </w:tr>
      <w:tr w:rsidR="00346471" w:rsidRPr="00346471" w14:paraId="0A889F7C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138C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3399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C3CB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ostatní záležitosti kultury (OOS, Senioři, MČ)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105CE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5 107 600,00 Kč</w:t>
            </w:r>
          </w:p>
        </w:tc>
      </w:tr>
      <w:tr w:rsidR="00346471" w:rsidRPr="00346471" w14:paraId="5BCABCE3" w14:textId="77777777" w:rsidTr="003D19BF">
        <w:trPr>
          <w:trHeight w:val="257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365AFDE3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color w:val="FFFFFF"/>
                <w:sz w:val="18"/>
                <w:szCs w:val="18"/>
              </w:rPr>
              <w:t>07. BEZPEČNOST</w:t>
            </w:r>
          </w:p>
        </w:tc>
      </w:tr>
      <w:tr w:rsidR="00346471" w:rsidRPr="00346471" w14:paraId="6E7C7729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3EFD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5311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2050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bezpečnost a veřejný pořádek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283F1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800 000,00</w:t>
            </w:r>
          </w:p>
        </w:tc>
      </w:tr>
      <w:tr w:rsidR="00346471" w:rsidRPr="00346471" w14:paraId="4909FDF3" w14:textId="77777777" w:rsidTr="003D19BF">
        <w:trPr>
          <w:trHeight w:val="269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4C18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5512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F349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JSDH Čakovice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D04B2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1 093 900,00 Kč</w:t>
            </w:r>
          </w:p>
        </w:tc>
      </w:tr>
      <w:tr w:rsidR="00346471" w:rsidRPr="00346471" w14:paraId="48818021" w14:textId="77777777" w:rsidTr="003D19BF">
        <w:trPr>
          <w:trHeight w:val="257"/>
        </w:trPr>
        <w:tc>
          <w:tcPr>
            <w:tcW w:w="90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bottom"/>
            <w:hideMark/>
          </w:tcPr>
          <w:p w14:paraId="1F603297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color w:val="FFFFFF"/>
                <w:sz w:val="18"/>
                <w:szCs w:val="18"/>
              </w:rPr>
              <w:t>08. HOSPODÁŘSTVÍ</w:t>
            </w:r>
          </w:p>
        </w:tc>
      </w:tr>
      <w:tr w:rsidR="00346471" w:rsidRPr="00346471" w14:paraId="7814D5F2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5173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3613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6BFE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nebytové hospodářství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DA020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6 251 000,00 Kč</w:t>
            </w:r>
          </w:p>
        </w:tc>
      </w:tr>
      <w:tr w:rsidR="00346471" w:rsidRPr="00346471" w14:paraId="25E24ED0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9B73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3632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7267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Pohřebnictví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9BB47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120 000,00 Kč</w:t>
            </w:r>
          </w:p>
        </w:tc>
      </w:tr>
      <w:tr w:rsidR="00346471" w:rsidRPr="00346471" w14:paraId="0434D197" w14:textId="77777777" w:rsidTr="003D19BF">
        <w:trPr>
          <w:trHeight w:val="257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75F647FE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color w:val="FFFFFF"/>
                <w:sz w:val="18"/>
                <w:szCs w:val="18"/>
              </w:rPr>
              <w:t>09. VNITŘNÍ SPRÁVA</w:t>
            </w:r>
          </w:p>
        </w:tc>
      </w:tr>
      <w:tr w:rsidR="00346471" w:rsidRPr="00346471" w14:paraId="086C969D" w14:textId="77777777" w:rsidTr="003D19BF">
        <w:trPr>
          <w:trHeight w:val="24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3A23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6112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37F7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zastupitelstva obcí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7E443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7 000 000,00 Kč</w:t>
            </w:r>
          </w:p>
        </w:tc>
      </w:tr>
      <w:tr w:rsidR="00346471" w:rsidRPr="00346471" w14:paraId="127848F2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C852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6171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CFFA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místní správa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E69A9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44 541 000,00 Kč</w:t>
            </w:r>
          </w:p>
        </w:tc>
      </w:tr>
      <w:tr w:rsidR="00346471" w:rsidRPr="00346471" w14:paraId="47AC1F8A" w14:textId="77777777" w:rsidTr="003D19BF">
        <w:trPr>
          <w:trHeight w:val="257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2B932982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color w:val="FFFFFF"/>
                <w:sz w:val="18"/>
                <w:szCs w:val="18"/>
              </w:rPr>
              <w:t>10. POKLADNÍ SPRÁVA</w:t>
            </w:r>
          </w:p>
        </w:tc>
      </w:tr>
      <w:tr w:rsidR="00346471" w:rsidRPr="00346471" w14:paraId="2782BD1B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DDA1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6310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43ED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bankovní poplatky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3BE27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46471" w:rsidRPr="00346471" w14:paraId="6E0E8B6B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6D9A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6320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A102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povinné ručení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7B16D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70 000,00 Kč</w:t>
            </w:r>
          </w:p>
        </w:tc>
      </w:tr>
      <w:tr w:rsidR="00346471" w:rsidRPr="00346471" w14:paraId="1E6E0BB8" w14:textId="77777777" w:rsidTr="003D19BF">
        <w:trPr>
          <w:trHeight w:val="25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8C7F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6330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AB19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vratka půjčky (pol. 6363)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19215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7 000 000,00 Kč</w:t>
            </w:r>
          </w:p>
        </w:tc>
      </w:tr>
      <w:tr w:rsidR="00346471" w:rsidRPr="00346471" w14:paraId="2FD56E9C" w14:textId="77777777" w:rsidTr="003D19BF">
        <w:trPr>
          <w:trHeight w:val="269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4E62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6399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FCD0" w14:textId="77777777" w:rsidR="00346471" w:rsidRPr="00346471" w:rsidRDefault="00346471" w:rsidP="0034647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daň z příjmu HČ 21%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2911A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46471">
              <w:rPr>
                <w:rFonts w:cs="Calibri"/>
                <w:sz w:val="18"/>
                <w:szCs w:val="18"/>
              </w:rPr>
              <w:t>1 500 000,00 Kč</w:t>
            </w:r>
          </w:p>
        </w:tc>
      </w:tr>
      <w:tr w:rsidR="00346471" w:rsidRPr="00346471" w14:paraId="145A1751" w14:textId="77777777" w:rsidTr="003D19BF">
        <w:trPr>
          <w:trHeight w:val="269"/>
        </w:trPr>
        <w:tc>
          <w:tcPr>
            <w:tcW w:w="68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011A2F" w14:textId="77777777" w:rsidR="00346471" w:rsidRPr="00346471" w:rsidRDefault="00346471" w:rsidP="00346471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sz w:val="18"/>
                <w:szCs w:val="18"/>
              </w:rPr>
              <w:t>BĚŽNÉ VÝDAJE CELKEM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75649CE" w14:textId="77777777" w:rsidR="00346471" w:rsidRPr="00346471" w:rsidRDefault="00346471" w:rsidP="00346471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346471">
              <w:rPr>
                <w:rFonts w:cs="Calibri"/>
                <w:b/>
                <w:bCs/>
                <w:sz w:val="18"/>
                <w:szCs w:val="18"/>
              </w:rPr>
              <w:t>195 266 400,00 Kč</w:t>
            </w:r>
          </w:p>
        </w:tc>
      </w:tr>
    </w:tbl>
    <w:p w14:paraId="2B360C36" w14:textId="3ABF2895" w:rsidR="00CD3550" w:rsidRDefault="00CD3550">
      <w:pPr>
        <w:spacing w:before="0" w:after="0" w:line="240" w:lineRule="auto"/>
        <w:rPr>
          <w:b/>
          <w:bCs/>
          <w:color w:val="4F81BD"/>
          <w:sz w:val="24"/>
          <w:szCs w:val="24"/>
        </w:rPr>
      </w:pPr>
    </w:p>
    <w:p w14:paraId="73CCBE15" w14:textId="3E54E343" w:rsidR="00FE0F8A" w:rsidRDefault="00FE65DA" w:rsidP="00FE0F8A">
      <w:pPr>
        <w:pStyle w:val="Titulek"/>
        <w:spacing w:after="0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3</w:t>
      </w:r>
      <w:r w:rsidR="00B2065D" w:rsidRPr="009552EB">
        <w:rPr>
          <w:sz w:val="24"/>
          <w:szCs w:val="24"/>
        </w:rPr>
        <w:fldChar w:fldCharType="end"/>
      </w:r>
      <w:r w:rsidR="00C9031C" w:rsidRPr="009552EB">
        <w:rPr>
          <w:sz w:val="24"/>
          <w:szCs w:val="24"/>
        </w:rPr>
        <w:t xml:space="preserve"> Návrh rozpočtu pro rok 202</w:t>
      </w:r>
      <w:r w:rsidR="004468E7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– VÝDAJE KAPITÁLOVÉ</w:t>
      </w:r>
    </w:p>
    <w:tbl>
      <w:tblPr>
        <w:tblW w:w="8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5591"/>
        <w:gridCol w:w="2250"/>
      </w:tblGrid>
      <w:tr w:rsidR="003D19BF" w:rsidRPr="003D19BF" w14:paraId="296A3719" w14:textId="77777777" w:rsidTr="003D19BF">
        <w:trPr>
          <w:trHeight w:val="320"/>
        </w:trPr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81FAE74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i/>
                <w:iCs/>
                <w:sz w:val="18"/>
                <w:szCs w:val="18"/>
              </w:rPr>
              <w:t>oddíl §</w:t>
            </w:r>
          </w:p>
        </w:tc>
        <w:tc>
          <w:tcPr>
            <w:tcW w:w="55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27460C0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i/>
                <w:iCs/>
                <w:sz w:val="18"/>
                <w:szCs w:val="18"/>
              </w:rPr>
              <w:t>Název položky</w:t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CCCFF"/>
            <w:noWrap/>
            <w:vAlign w:val="center"/>
            <w:hideMark/>
          </w:tcPr>
          <w:p w14:paraId="15B0599A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i/>
                <w:iCs/>
                <w:sz w:val="18"/>
                <w:szCs w:val="18"/>
              </w:rPr>
              <w:t>Návrh rozpočtu 2026</w:t>
            </w:r>
          </w:p>
        </w:tc>
      </w:tr>
      <w:tr w:rsidR="003D19BF" w:rsidRPr="003D19BF" w14:paraId="3C93561A" w14:textId="77777777" w:rsidTr="003D19BF">
        <w:trPr>
          <w:trHeight w:val="335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D07EDD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5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9FDABF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7B1F9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D19BF" w:rsidRPr="003D19BF" w14:paraId="6E8B15FB" w14:textId="77777777" w:rsidTr="003D19BF">
        <w:trPr>
          <w:trHeight w:val="320"/>
        </w:trPr>
        <w:tc>
          <w:tcPr>
            <w:tcW w:w="89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99CCFF"/>
            <w:noWrap/>
            <w:vAlign w:val="center"/>
            <w:hideMark/>
          </w:tcPr>
          <w:p w14:paraId="7B5B0992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D19BF">
              <w:rPr>
                <w:rFonts w:cs="Calibri"/>
                <w:b/>
                <w:bCs/>
                <w:sz w:val="24"/>
                <w:szCs w:val="24"/>
              </w:rPr>
              <w:t>Kapitálové výdaje</w:t>
            </w:r>
          </w:p>
        </w:tc>
      </w:tr>
      <w:tr w:rsidR="003D19BF" w:rsidRPr="003D19BF" w14:paraId="20E95719" w14:textId="77777777" w:rsidTr="003D19BF">
        <w:trPr>
          <w:trHeight w:val="32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68D72668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color w:val="FFFFFF"/>
                <w:sz w:val="18"/>
                <w:szCs w:val="18"/>
              </w:rPr>
              <w:t>02., 03.  MĚSTSKÁ INFRASTRUKTURA</w:t>
            </w:r>
          </w:p>
        </w:tc>
      </w:tr>
      <w:tr w:rsidR="003D19BF" w:rsidRPr="003D19BF" w14:paraId="0F889FF8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2277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2212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F489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silnice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72CA5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5 094 400,00 Kč</w:t>
            </w:r>
          </w:p>
        </w:tc>
      </w:tr>
      <w:tr w:rsidR="003D19BF" w:rsidRPr="003D19BF" w14:paraId="7560E0AE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A166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2219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714B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ostatní záležitosti pozemních komunikací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7F64D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22 466 900,00 Kč</w:t>
            </w:r>
          </w:p>
        </w:tc>
      </w:tr>
      <w:tr w:rsidR="003D19BF" w:rsidRPr="003D19BF" w14:paraId="20BA8FA2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6507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2221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9417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provoz veřejné silniční dopravy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5E1F6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D19BF" w:rsidRPr="003D19BF" w14:paraId="73AEBA38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F7AB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2241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2F58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železniční dráhy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AFCBE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229 000,00 Kč</w:t>
            </w:r>
          </w:p>
        </w:tc>
      </w:tr>
      <w:tr w:rsidR="003D19BF" w:rsidRPr="003D19BF" w14:paraId="34EE3294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F533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3421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6CEF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využití volného času dětí a mládeže (dětská hřiště)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8EAA2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1 250 000,00 Kč</w:t>
            </w:r>
          </w:p>
        </w:tc>
      </w:tr>
      <w:tr w:rsidR="003D19BF" w:rsidRPr="003D19BF" w14:paraId="6DD282A1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16A2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3745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0789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péče o vzhled obcí a veřejnou zeleň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A05EE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4 540 100,00 Kč</w:t>
            </w:r>
          </w:p>
        </w:tc>
      </w:tr>
      <w:tr w:rsidR="003D19BF" w:rsidRPr="003D19BF" w14:paraId="1ACE9F42" w14:textId="77777777" w:rsidTr="003D19BF">
        <w:trPr>
          <w:trHeight w:val="32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3FEA4E67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color w:val="FFFFFF"/>
                <w:sz w:val="18"/>
                <w:szCs w:val="18"/>
              </w:rPr>
              <w:t>04. ŠKOLSTVÍ + SPORT</w:t>
            </w:r>
          </w:p>
        </w:tc>
      </w:tr>
      <w:tr w:rsidR="003D19BF" w:rsidRPr="003D19BF" w14:paraId="5E57E194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78A7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3111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51B3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MŠ - stavby, stroje, zařízení, pozemky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7E7E4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700 000,00 Kč</w:t>
            </w:r>
          </w:p>
        </w:tc>
      </w:tr>
      <w:tr w:rsidR="003D19BF" w:rsidRPr="003D19BF" w14:paraId="7C517CCD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DD1B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3113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35B2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ZŠ - stavby, stroje, zařízení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89BE6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181 590 500,00 Kč</w:t>
            </w:r>
          </w:p>
        </w:tc>
      </w:tr>
      <w:tr w:rsidR="003D19BF" w:rsidRPr="003D19BF" w14:paraId="14259785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BD4A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3121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B84B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ostatní záležitosti vzdělávání - gymnázium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1EB1C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8 349 600,00 Kč</w:t>
            </w:r>
          </w:p>
        </w:tc>
      </w:tr>
      <w:tr w:rsidR="003D19BF" w:rsidRPr="003D19BF" w14:paraId="2F4EF609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9705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3412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5C28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sportovní zařízení v majetku obce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42CFE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90 800,00 Kč</w:t>
            </w:r>
          </w:p>
        </w:tc>
      </w:tr>
      <w:tr w:rsidR="003D19BF" w:rsidRPr="003D19BF" w14:paraId="47508C2D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8CB1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3419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187A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 xml:space="preserve">ostatní tělovýchovná činnost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AC050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2 300 000,00 Kč</w:t>
            </w:r>
          </w:p>
        </w:tc>
      </w:tr>
      <w:tr w:rsidR="003D19BF" w:rsidRPr="003D19BF" w14:paraId="45BEFB97" w14:textId="77777777" w:rsidTr="003D19BF">
        <w:trPr>
          <w:trHeight w:val="32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781E841B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color w:val="FFFFFF"/>
                <w:sz w:val="18"/>
                <w:szCs w:val="18"/>
              </w:rPr>
              <w:t>05. ZDRAVOTNICTVÍ A SOCIÁLNÍ PÉČE</w:t>
            </w:r>
          </w:p>
        </w:tc>
      </w:tr>
      <w:tr w:rsidR="003D19BF" w:rsidRPr="003D19BF" w14:paraId="2D12E361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AC64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3511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5EAE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 xml:space="preserve">všeobecná </w:t>
            </w:r>
            <w:proofErr w:type="spellStart"/>
            <w:r w:rsidRPr="003D19BF">
              <w:rPr>
                <w:rFonts w:cs="Calibri"/>
                <w:sz w:val="18"/>
                <w:szCs w:val="18"/>
              </w:rPr>
              <w:t>ambulatní</w:t>
            </w:r>
            <w:proofErr w:type="spellEnd"/>
            <w:r w:rsidRPr="003D19BF">
              <w:rPr>
                <w:rFonts w:cs="Calibri"/>
                <w:sz w:val="18"/>
                <w:szCs w:val="18"/>
              </w:rPr>
              <w:t xml:space="preserve"> péče - Lékařský dům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D17B2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41 000 000,00 Kč</w:t>
            </w:r>
          </w:p>
        </w:tc>
      </w:tr>
      <w:tr w:rsidR="003D19BF" w:rsidRPr="003D19BF" w14:paraId="33432F6D" w14:textId="77777777" w:rsidTr="003D19BF">
        <w:trPr>
          <w:trHeight w:val="32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48A9C04D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color w:val="FFFFFF"/>
                <w:sz w:val="18"/>
                <w:szCs w:val="18"/>
              </w:rPr>
              <w:t>06. KULTURA A CESTOVNÍ RUCH</w:t>
            </w:r>
          </w:p>
        </w:tc>
      </w:tr>
      <w:tr w:rsidR="003D19BF" w:rsidRPr="003D19BF" w14:paraId="62EFA1B4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4031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3319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583D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ostatní záležitosti kultury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BFE18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0,00 Kč</w:t>
            </w:r>
          </w:p>
        </w:tc>
      </w:tr>
      <w:tr w:rsidR="003D19BF" w:rsidRPr="003D19BF" w14:paraId="1B1ADF80" w14:textId="77777777" w:rsidTr="003D19BF">
        <w:trPr>
          <w:trHeight w:val="32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1E1B5F11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color w:val="FFFFFF"/>
                <w:sz w:val="18"/>
                <w:szCs w:val="18"/>
              </w:rPr>
              <w:t>07. BEZPEČNOST</w:t>
            </w:r>
          </w:p>
        </w:tc>
      </w:tr>
      <w:tr w:rsidR="003D19BF" w:rsidRPr="003D19BF" w14:paraId="4DC80ED8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008C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5311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ECE7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bezpečnost a veřejný pořádek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F1F13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1 500 000,00 Kč</w:t>
            </w:r>
          </w:p>
        </w:tc>
      </w:tr>
      <w:tr w:rsidR="003D19BF" w:rsidRPr="003D19BF" w14:paraId="2E45D5D6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4086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5512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162A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JSDH Čakovice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54005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D19BF" w:rsidRPr="003D19BF" w14:paraId="70AE615B" w14:textId="77777777" w:rsidTr="003D19BF">
        <w:trPr>
          <w:trHeight w:val="32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48293A4C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color w:val="FFFFFF"/>
                <w:sz w:val="18"/>
                <w:szCs w:val="18"/>
              </w:rPr>
              <w:t>08. HOSPODÁŘSTVÍ</w:t>
            </w:r>
          </w:p>
        </w:tc>
      </w:tr>
      <w:tr w:rsidR="003D19BF" w:rsidRPr="003D19BF" w14:paraId="4EECCB9C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C18A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3612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B11B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 xml:space="preserve">bytové hospodářství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16141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3 140 100,00 Kč</w:t>
            </w:r>
          </w:p>
        </w:tc>
      </w:tr>
      <w:tr w:rsidR="003D19BF" w:rsidRPr="003D19BF" w14:paraId="738807BA" w14:textId="77777777" w:rsidTr="003D19BF">
        <w:trPr>
          <w:trHeight w:val="32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0712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3613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30DB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nebytové hospodářství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70A03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0,00 Kč</w:t>
            </w:r>
          </w:p>
        </w:tc>
      </w:tr>
      <w:tr w:rsidR="003D19BF" w:rsidRPr="003D19BF" w14:paraId="6597855D" w14:textId="77777777" w:rsidTr="003D19BF">
        <w:trPr>
          <w:trHeight w:val="320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center"/>
            <w:hideMark/>
          </w:tcPr>
          <w:p w14:paraId="449D677A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color w:val="FFFFFF"/>
                <w:sz w:val="18"/>
                <w:szCs w:val="18"/>
              </w:rPr>
              <w:t>09. VNITŘNÍ SPRÁVA</w:t>
            </w:r>
          </w:p>
        </w:tc>
      </w:tr>
      <w:tr w:rsidR="003D19BF" w:rsidRPr="003D19BF" w14:paraId="6B229942" w14:textId="77777777" w:rsidTr="003D19BF">
        <w:trPr>
          <w:trHeight w:val="100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3D05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6171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A270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úřad - projekty a investice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57051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3D19BF">
              <w:rPr>
                <w:rFonts w:cs="Calibri"/>
                <w:sz w:val="18"/>
                <w:szCs w:val="18"/>
              </w:rPr>
              <w:t>14 934 100,00</w:t>
            </w:r>
          </w:p>
        </w:tc>
      </w:tr>
      <w:tr w:rsidR="003D19BF" w:rsidRPr="003D19BF" w14:paraId="13AEF7AA" w14:textId="77777777" w:rsidTr="003D19BF">
        <w:trPr>
          <w:trHeight w:val="320"/>
        </w:trPr>
        <w:tc>
          <w:tcPr>
            <w:tcW w:w="67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5E5DE8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KAPITÁLOVÉ VÝDAJE CELKEM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4455A89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287 185 500,00 Kč</w:t>
            </w:r>
          </w:p>
        </w:tc>
      </w:tr>
      <w:tr w:rsidR="003D19BF" w:rsidRPr="003D19BF" w14:paraId="0C90D525" w14:textId="77777777" w:rsidTr="003D19BF">
        <w:trPr>
          <w:trHeight w:val="381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969696"/>
            <w:noWrap/>
            <w:vAlign w:val="center"/>
            <w:hideMark/>
          </w:tcPr>
          <w:p w14:paraId="3A5FE995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3D19BF">
              <w:rPr>
                <w:rFonts w:cs="Calibri"/>
                <w:b/>
                <w:bCs/>
                <w:sz w:val="28"/>
                <w:szCs w:val="28"/>
              </w:rPr>
              <w:t>CELKEM VÝDAJE</w:t>
            </w:r>
          </w:p>
        </w:tc>
      </w:tr>
      <w:tr w:rsidR="003D19BF" w:rsidRPr="003D19BF" w14:paraId="1BE03054" w14:textId="77777777" w:rsidTr="003D19BF">
        <w:trPr>
          <w:trHeight w:val="320"/>
        </w:trPr>
        <w:tc>
          <w:tcPr>
            <w:tcW w:w="67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A204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celkem výdaje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D486C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482 451 900,00 Kč</w:t>
            </w:r>
          </w:p>
        </w:tc>
      </w:tr>
      <w:tr w:rsidR="003D19BF" w:rsidRPr="003D19BF" w14:paraId="3D92E6F2" w14:textId="77777777" w:rsidTr="003D19BF">
        <w:trPr>
          <w:trHeight w:val="320"/>
        </w:trPr>
        <w:tc>
          <w:tcPr>
            <w:tcW w:w="67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B8DF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zaměstnanecký fond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2F8E2" w14:textId="77777777" w:rsidR="003D19BF" w:rsidRPr="003D19BF" w:rsidRDefault="003D19BF" w:rsidP="003D19BF">
            <w:pPr>
              <w:spacing w:before="0"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</w:tr>
      <w:tr w:rsidR="003D19BF" w:rsidRPr="003D19BF" w14:paraId="1F17BDFE" w14:textId="77777777" w:rsidTr="003D19BF">
        <w:trPr>
          <w:trHeight w:val="320"/>
        </w:trPr>
        <w:tc>
          <w:tcPr>
            <w:tcW w:w="67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B186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PŘÍJMY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132D4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482 451 900,00 Kč</w:t>
            </w:r>
          </w:p>
        </w:tc>
      </w:tr>
      <w:tr w:rsidR="003D19BF" w:rsidRPr="003D19BF" w14:paraId="78D6D279" w14:textId="77777777" w:rsidTr="003D19BF">
        <w:trPr>
          <w:trHeight w:val="335"/>
        </w:trPr>
        <w:tc>
          <w:tcPr>
            <w:tcW w:w="67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CE07DFB" w14:textId="77777777" w:rsidR="003D19BF" w:rsidRPr="003D19BF" w:rsidRDefault="003D19BF" w:rsidP="003D19BF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ROZDÍL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B4DF5AC" w14:textId="77777777" w:rsidR="003D19BF" w:rsidRPr="003D19BF" w:rsidRDefault="003D19BF" w:rsidP="003D19BF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3D19BF">
              <w:rPr>
                <w:rFonts w:cs="Calibri"/>
                <w:b/>
                <w:bCs/>
                <w:sz w:val="18"/>
                <w:szCs w:val="18"/>
              </w:rPr>
              <w:t>0,00 Kč</w:t>
            </w:r>
          </w:p>
        </w:tc>
      </w:tr>
    </w:tbl>
    <w:p w14:paraId="33B29890" w14:textId="77777777" w:rsidR="003D19BF" w:rsidRPr="003D19BF" w:rsidRDefault="003D19BF" w:rsidP="003D19BF"/>
    <w:p w14:paraId="10A52012" w14:textId="6C4E29C5" w:rsidR="00FE0F8A" w:rsidRDefault="00FE0F8A" w:rsidP="00FE0F8A">
      <w:pPr>
        <w:pStyle w:val="Titulek"/>
        <w:spacing w:after="0"/>
        <w:rPr>
          <w:sz w:val="24"/>
          <w:szCs w:val="24"/>
        </w:rPr>
      </w:pPr>
    </w:p>
    <w:p w14:paraId="29CC1082" w14:textId="68450ACF" w:rsidR="00EB561E" w:rsidRDefault="00EB561E" w:rsidP="00FE0F8A">
      <w:pPr>
        <w:pStyle w:val="Titulek"/>
        <w:spacing w:after="0"/>
        <w:rPr>
          <w:noProof/>
        </w:rPr>
      </w:pPr>
    </w:p>
    <w:p w14:paraId="14A20706" w14:textId="4A89A47A" w:rsidR="007E55F6" w:rsidRPr="009552EB" w:rsidRDefault="00EB561E" w:rsidP="00722C5A">
      <w:pPr>
        <w:spacing w:before="0" w:after="0" w:line="240" w:lineRule="auto"/>
        <w:rPr>
          <w:sz w:val="34"/>
          <w:szCs w:val="34"/>
        </w:rPr>
      </w:pPr>
      <w:r>
        <w:rPr>
          <w:noProof/>
        </w:rPr>
        <w:br w:type="page"/>
      </w:r>
      <w:bookmarkStart w:id="8" w:name="_Toc30619682"/>
      <w:r w:rsidR="007E55F6" w:rsidRPr="009552EB">
        <w:rPr>
          <w:sz w:val="34"/>
          <w:szCs w:val="34"/>
        </w:rPr>
        <w:lastRenderedPageBreak/>
        <w:t xml:space="preserve">Návrh rozpočtového výhledu MČ </w:t>
      </w:r>
      <w:r w:rsidR="009552EB" w:rsidRPr="009552EB">
        <w:rPr>
          <w:sz w:val="34"/>
          <w:szCs w:val="34"/>
        </w:rPr>
        <w:t>Praha-</w:t>
      </w:r>
      <w:r w:rsidR="007E55F6" w:rsidRPr="009552EB">
        <w:rPr>
          <w:sz w:val="34"/>
          <w:szCs w:val="34"/>
        </w:rPr>
        <w:t>Čakovice do</w:t>
      </w:r>
      <w:r w:rsidR="009552EB" w:rsidRPr="009552EB">
        <w:rPr>
          <w:sz w:val="34"/>
          <w:szCs w:val="34"/>
        </w:rPr>
        <w:t> </w:t>
      </w:r>
      <w:r w:rsidR="007E55F6" w:rsidRPr="009552EB">
        <w:rPr>
          <w:sz w:val="34"/>
          <w:szCs w:val="34"/>
        </w:rPr>
        <w:t>roku</w:t>
      </w:r>
      <w:r w:rsidR="009552EB" w:rsidRPr="009552EB">
        <w:rPr>
          <w:sz w:val="34"/>
          <w:szCs w:val="34"/>
        </w:rPr>
        <w:t> </w:t>
      </w:r>
      <w:r w:rsidR="007E55F6" w:rsidRPr="009552EB">
        <w:rPr>
          <w:sz w:val="34"/>
          <w:szCs w:val="34"/>
        </w:rPr>
        <w:t>20</w:t>
      </w:r>
      <w:bookmarkEnd w:id="8"/>
      <w:r w:rsidR="001B170C">
        <w:rPr>
          <w:sz w:val="34"/>
          <w:szCs w:val="34"/>
        </w:rPr>
        <w:t>3</w:t>
      </w:r>
      <w:r w:rsidR="004468E7">
        <w:rPr>
          <w:sz w:val="34"/>
          <w:szCs w:val="34"/>
        </w:rPr>
        <w:t>1</w:t>
      </w:r>
    </w:p>
    <w:p w14:paraId="26F422B6" w14:textId="36E3C892" w:rsidR="007E55F6" w:rsidRDefault="007E55F6" w:rsidP="007E55F6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4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Rozpočtový výhled MČ </w:t>
      </w:r>
      <w:r w:rsidR="009552EB" w:rsidRPr="009552EB">
        <w:rPr>
          <w:sz w:val="24"/>
          <w:szCs w:val="24"/>
        </w:rPr>
        <w:t>Praha-</w:t>
      </w:r>
      <w:r w:rsidRPr="009552EB">
        <w:rPr>
          <w:sz w:val="24"/>
          <w:szCs w:val="24"/>
        </w:rPr>
        <w:t>Č</w:t>
      </w:r>
      <w:r w:rsidR="001B170C">
        <w:rPr>
          <w:sz w:val="24"/>
          <w:szCs w:val="24"/>
        </w:rPr>
        <w:t>akovice do roku 203</w:t>
      </w:r>
      <w:r w:rsidR="004468E7">
        <w:rPr>
          <w:sz w:val="24"/>
          <w:szCs w:val="24"/>
        </w:rPr>
        <w:t>1</w:t>
      </w:r>
    </w:p>
    <w:p w14:paraId="7EE45610" w14:textId="10C8017F" w:rsidR="00A30243" w:rsidRPr="00A30243" w:rsidRDefault="00F37CC6" w:rsidP="00A30243">
      <w:r w:rsidRPr="00F37CC6">
        <w:rPr>
          <w:noProof/>
        </w:rPr>
        <w:drawing>
          <wp:inline distT="0" distB="0" distL="0" distR="0" wp14:anchorId="63EE141D" wp14:editId="58E93BE7">
            <wp:extent cx="5977255" cy="2118360"/>
            <wp:effectExtent l="0" t="0" r="4445" b="0"/>
            <wp:docPr id="10669346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3461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69BA0" w14:textId="56CAA027" w:rsidR="007E55F6" w:rsidRDefault="007E55F6" w:rsidP="007E55F6">
      <w:pPr>
        <w:pStyle w:val="Nadpis2"/>
        <w:numPr>
          <w:ilvl w:val="1"/>
          <w:numId w:val="7"/>
        </w:numPr>
        <w:jc w:val="both"/>
      </w:pPr>
      <w:bookmarkStart w:id="9" w:name="_Toc30619683"/>
      <w:bookmarkStart w:id="10" w:name="_Toc220164732"/>
      <w:r>
        <w:t>Komentář k návrhu rozpočtového výhledu MČ Praha</w:t>
      </w:r>
      <w:r w:rsidR="00E16D22">
        <w:t>-</w:t>
      </w:r>
      <w:r>
        <w:t>Čakovice do roku 20</w:t>
      </w:r>
      <w:bookmarkEnd w:id="9"/>
      <w:r w:rsidR="001B170C">
        <w:t>3</w:t>
      </w:r>
      <w:r w:rsidR="004468E7">
        <w:t>1</w:t>
      </w:r>
      <w:bookmarkEnd w:id="10"/>
    </w:p>
    <w:p w14:paraId="164D0DB0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Rozpočtový výhled vychází ze skutečných v</w:t>
      </w:r>
      <w:r w:rsidR="00722C5A">
        <w:rPr>
          <w:sz w:val="24"/>
          <w:szCs w:val="24"/>
        </w:rPr>
        <w:t>ýsledků hospodaření od roku 2019</w:t>
      </w:r>
      <w:r w:rsidRPr="009552EB">
        <w:rPr>
          <w:sz w:val="24"/>
          <w:szCs w:val="24"/>
        </w:rPr>
        <w:t xml:space="preserve"> a jeho struktura vychází ze schváleného rozpočtového výhledu hlavního města Prahy. </w:t>
      </w:r>
    </w:p>
    <w:p w14:paraId="2512D422" w14:textId="77777777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Daňové příjmy - třída 1:</w:t>
      </w:r>
    </w:p>
    <w:p w14:paraId="5E60E2DC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Příjmy této položky tvoří poplatky ze psů, záborů veřejného prostranstv</w:t>
      </w:r>
      <w:r w:rsidR="00FE42E6">
        <w:rPr>
          <w:sz w:val="24"/>
          <w:szCs w:val="24"/>
        </w:rPr>
        <w:t>í, z pobytu</w:t>
      </w:r>
      <w:r w:rsidRPr="009552EB">
        <w:rPr>
          <w:sz w:val="24"/>
          <w:szCs w:val="24"/>
        </w:rPr>
        <w:t xml:space="preserve">, správní poplatky a daň z nemovitosti. </w:t>
      </w:r>
    </w:p>
    <w:p w14:paraId="45EBE8D7" w14:textId="77777777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Nedaňové příjmy - třída 2:</w:t>
      </w:r>
    </w:p>
    <w:p w14:paraId="06504E8F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Rozpočtový výhled předpokládá stabilní příjem, který nemá velké výkyvy. Příjmy této položky tvoří příjmy ze služeb poskytovaných úřadem typu sběr odpadu, poplatky vybírané v knihovnách, sankční platby</w:t>
      </w:r>
      <w:r w:rsidR="002D6AEE">
        <w:rPr>
          <w:sz w:val="24"/>
          <w:szCs w:val="24"/>
        </w:rPr>
        <w:t>,</w:t>
      </w:r>
      <w:r w:rsidRPr="009552EB">
        <w:rPr>
          <w:sz w:val="24"/>
          <w:szCs w:val="24"/>
        </w:rPr>
        <w:t xml:space="preserve"> úroky z vkladů na bankovních účtech.</w:t>
      </w:r>
    </w:p>
    <w:p w14:paraId="51E27E3E" w14:textId="77777777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Kapitálové příjmy - třída 3:</w:t>
      </w:r>
    </w:p>
    <w:p w14:paraId="7911F67F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Rozpočtový výhled nemůže předpokládat příjem na této položce s dlouhodobým výhledem. Tvoří ji příjmy z prodeje dlouhodobého majetku (především nemovitostí) a ostatní kapitálové příjmy – např. přijaté dary a příspěvky na pořízení dlouhodobého majetku. </w:t>
      </w:r>
    </w:p>
    <w:p w14:paraId="412A6E82" w14:textId="77777777" w:rsidR="007E55F6" w:rsidRPr="009552EB" w:rsidRDefault="007E55F6" w:rsidP="00EB561E">
      <w:pPr>
        <w:spacing w:before="0" w:after="0" w:line="240" w:lineRule="auto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Přijaté dotace - třída 4:</w:t>
      </w:r>
    </w:p>
    <w:p w14:paraId="13DE3B2F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Rozpočtový výhled počítá se stabilizací této položky. Tvoří ji dotace z rozpočtu hl. m. Prahy (její výše úzce souvisí s počtem obyvatel, rozlohou veřejné zeleně udržované městskou částí, počtem km</w:t>
      </w:r>
      <w:r w:rsidRPr="009552EB">
        <w:rPr>
          <w:sz w:val="24"/>
          <w:szCs w:val="24"/>
          <w:vertAlign w:val="superscript"/>
        </w:rPr>
        <w:t>2</w:t>
      </w:r>
      <w:r w:rsidRPr="009552EB">
        <w:rPr>
          <w:sz w:val="24"/>
          <w:szCs w:val="24"/>
        </w:rPr>
        <w:t xml:space="preserve"> místních komunikací), dotace ze státního rozpočtu na výkon státní správy a na provoz školských zařízení zřizovaných městskou částí. Rovněž dotace z  VHČ. </w:t>
      </w:r>
    </w:p>
    <w:p w14:paraId="4F913844" w14:textId="77777777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lastRenderedPageBreak/>
        <w:t>Provozní výdaje - třída 5:</w:t>
      </w:r>
    </w:p>
    <w:p w14:paraId="11285967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Rozpočtový výhled počítá s nárůstem provozních nákladů cca o 1 000 000,- Kč ročně, především v souvislosti s přebíráním komunikací a veřejné zeleně z nové výstavby, zvyšování cen služeb a zboží. </w:t>
      </w:r>
    </w:p>
    <w:p w14:paraId="53FA8FF2" w14:textId="77777777" w:rsidR="007E55F6" w:rsidRPr="009552EB" w:rsidRDefault="007E55F6" w:rsidP="007E55F6">
      <w:pPr>
        <w:spacing w:before="0" w:after="0" w:line="240" w:lineRule="auto"/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Kapitálové výdaje - třída 6:</w:t>
      </w:r>
    </w:p>
    <w:p w14:paraId="4E711459" w14:textId="77777777" w:rsidR="007E55F6" w:rsidRPr="00D42E25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Rozpočtový výhled předpokládá investice do veřejného vybavení ve výš</w:t>
      </w:r>
      <w:r w:rsidR="00293F48" w:rsidRPr="009552EB">
        <w:rPr>
          <w:sz w:val="24"/>
          <w:szCs w:val="24"/>
        </w:rPr>
        <w:t xml:space="preserve">i cca 10 mil. Kč ročně.  Jde např. o </w:t>
      </w:r>
      <w:r w:rsidRPr="009552EB">
        <w:rPr>
          <w:sz w:val="24"/>
          <w:szCs w:val="24"/>
        </w:rPr>
        <w:t xml:space="preserve">rekonstrukci dětských hřišť, obnovu veřejné zeleně, stavbu kulturních, bezpečnostních či </w:t>
      </w:r>
      <w:r w:rsidRPr="00D42E25">
        <w:rPr>
          <w:sz w:val="24"/>
          <w:szCs w:val="24"/>
        </w:rPr>
        <w:t>školských zařízení.</w:t>
      </w:r>
    </w:p>
    <w:p w14:paraId="63268793" w14:textId="69BBC46A" w:rsidR="007E55F6" w:rsidRPr="009552EB" w:rsidRDefault="007E55F6" w:rsidP="007E55F6">
      <w:pPr>
        <w:jc w:val="both"/>
        <w:rPr>
          <w:sz w:val="24"/>
          <w:szCs w:val="24"/>
        </w:rPr>
      </w:pPr>
      <w:r w:rsidRPr="00D42E25">
        <w:rPr>
          <w:sz w:val="24"/>
          <w:szCs w:val="24"/>
        </w:rPr>
        <w:t>Výsledek hospodaření uvedený v tabulce návrhu rozpočtového výhledu je účetním stavem jednotlivých položek po konsolidaci. Výsledek hospodaření roku 202</w:t>
      </w:r>
      <w:r w:rsidR="001B170C" w:rsidRPr="00D42E25">
        <w:rPr>
          <w:sz w:val="24"/>
          <w:szCs w:val="24"/>
        </w:rPr>
        <w:t>5</w:t>
      </w:r>
      <w:r w:rsidRPr="00D42E25">
        <w:rPr>
          <w:sz w:val="24"/>
          <w:szCs w:val="24"/>
        </w:rPr>
        <w:t>, je v tomto případě vyjádřen schodkem ve výši</w:t>
      </w:r>
      <w:r w:rsidR="001B170C" w:rsidRPr="00D42E25">
        <w:rPr>
          <w:sz w:val="24"/>
          <w:szCs w:val="24"/>
        </w:rPr>
        <w:t xml:space="preserve"> </w:t>
      </w:r>
      <w:r w:rsidR="002E6480">
        <w:rPr>
          <w:sz w:val="24"/>
          <w:szCs w:val="24"/>
        </w:rPr>
        <w:t>213 284 000</w:t>
      </w:r>
      <w:r w:rsidRPr="00D42E25">
        <w:rPr>
          <w:sz w:val="24"/>
          <w:szCs w:val="24"/>
        </w:rPr>
        <w:t>,- Kč.</w:t>
      </w:r>
      <w:r w:rsidRPr="009552EB">
        <w:rPr>
          <w:sz w:val="24"/>
          <w:szCs w:val="24"/>
        </w:rPr>
        <w:t xml:space="preserve"> </w:t>
      </w:r>
    </w:p>
    <w:p w14:paraId="582C0C29" w14:textId="77777777" w:rsidR="007E55F6" w:rsidRPr="007E55F6" w:rsidRDefault="007027C1" w:rsidP="007E55F6">
      <w:r>
        <w:br w:type="page"/>
      </w:r>
    </w:p>
    <w:p w14:paraId="2CDB611B" w14:textId="53E02F62" w:rsidR="00FE65DA" w:rsidRDefault="00FE65DA" w:rsidP="009552EB">
      <w:pPr>
        <w:pStyle w:val="Nadpis1"/>
      </w:pPr>
      <w:bookmarkStart w:id="11" w:name="_Toc220164733"/>
      <w:r>
        <w:lastRenderedPageBreak/>
        <w:t xml:space="preserve">Důvodová zpráva k návrhu rozpočtu MČ </w:t>
      </w:r>
      <w:r w:rsidR="000C7131">
        <w:t>Praha-</w:t>
      </w:r>
      <w:r>
        <w:t>Čakovice pro</w:t>
      </w:r>
      <w:r w:rsidR="000C7131">
        <w:t> </w:t>
      </w:r>
      <w:r>
        <w:t>rok 20</w:t>
      </w:r>
      <w:r w:rsidR="00C9031C">
        <w:t>2</w:t>
      </w:r>
      <w:r w:rsidR="004468E7">
        <w:t>6</w:t>
      </w:r>
      <w:bookmarkEnd w:id="11"/>
    </w:p>
    <w:p w14:paraId="772904F9" w14:textId="77F5FAB0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Rozpočet Městské části Praha-Čakovice je zpracován v souladu se zákony č. 131/2000 Sb. a 250/2000 Sb. v platném znění a se zásadami a metodikou pro sestavení rozpočtu. Struktura rozpočtu vychází z platné rozpočtové skladby vydané formou vyhlášky MF ČR č. 357/2009 Sb. Práce na sestavení rozpočtu byly započaty v </w:t>
      </w:r>
      <w:r w:rsidR="00DC40D4" w:rsidRPr="009552EB">
        <w:rPr>
          <w:sz w:val="24"/>
          <w:szCs w:val="24"/>
        </w:rPr>
        <w:t>říjnu</w:t>
      </w:r>
      <w:r w:rsidR="00E46396" w:rsidRPr="009552EB">
        <w:rPr>
          <w:sz w:val="24"/>
          <w:szCs w:val="24"/>
        </w:rPr>
        <w:t xml:space="preserve"> </w:t>
      </w:r>
      <w:r w:rsidR="006B019C" w:rsidRPr="009552EB">
        <w:rPr>
          <w:sz w:val="24"/>
          <w:szCs w:val="24"/>
        </w:rPr>
        <w:t>roku 202</w:t>
      </w:r>
      <w:r w:rsidR="004468E7">
        <w:rPr>
          <w:sz w:val="24"/>
          <w:szCs w:val="24"/>
        </w:rPr>
        <w:t>5</w:t>
      </w:r>
      <w:r w:rsidR="00B41B17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a to sběrem požadavků na výdaje jednotlivých kapitol a předpokladem očekávaných příjmů.</w:t>
      </w:r>
    </w:p>
    <w:p w14:paraId="7BB0BF30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Základní principy pro sestavení rozpočtu jsou stanoveny takto:</w:t>
      </w:r>
    </w:p>
    <w:p w14:paraId="46A382A8" w14:textId="77777777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  <w:u w:val="single"/>
        </w:rPr>
        <w:t>Finanční zdroje</w:t>
      </w:r>
      <w:r w:rsidRPr="009552EB">
        <w:rPr>
          <w:sz w:val="24"/>
          <w:szCs w:val="24"/>
        </w:rPr>
        <w:t xml:space="preserve"> jsou tvořeny z vlastních příjmů, dotačních vztahů, převodů z hospodářské činnosti a zapojením finančních prostředků vytvořených v minulých letech. Do příjmů rozpočtu </w:t>
      </w:r>
      <w:r w:rsidR="00C04223" w:rsidRPr="009552EB">
        <w:rPr>
          <w:sz w:val="24"/>
          <w:szCs w:val="24"/>
        </w:rPr>
        <w:t xml:space="preserve">jsou </w:t>
      </w:r>
      <w:r w:rsidRPr="009552EB">
        <w:rPr>
          <w:sz w:val="24"/>
          <w:szCs w:val="24"/>
        </w:rPr>
        <w:t xml:space="preserve">zapracovány </w:t>
      </w:r>
      <w:r w:rsidR="00C04223" w:rsidRPr="009552EB">
        <w:rPr>
          <w:sz w:val="24"/>
          <w:szCs w:val="24"/>
        </w:rPr>
        <w:t>i zdroje</w:t>
      </w:r>
      <w:r w:rsidRPr="009552EB">
        <w:rPr>
          <w:sz w:val="24"/>
          <w:szCs w:val="24"/>
        </w:rPr>
        <w:t>, které by byly získány zadlužením Městské části Praha-Čakovice.</w:t>
      </w:r>
    </w:p>
    <w:p w14:paraId="09D8485E" w14:textId="3C3E2098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Objem </w:t>
      </w:r>
      <w:r w:rsidRPr="009552EB">
        <w:rPr>
          <w:sz w:val="24"/>
          <w:szCs w:val="24"/>
          <w:u w:val="single"/>
        </w:rPr>
        <w:t>běžných výdajů</w:t>
      </w:r>
      <w:r w:rsidRPr="009552EB">
        <w:rPr>
          <w:sz w:val="24"/>
          <w:szCs w:val="24"/>
        </w:rPr>
        <w:t xml:space="preserve"> je stanoven v os</w:t>
      </w:r>
      <w:r w:rsidR="006B019C" w:rsidRPr="009552EB">
        <w:rPr>
          <w:sz w:val="24"/>
          <w:szCs w:val="24"/>
        </w:rPr>
        <w:t>c</w:t>
      </w:r>
      <w:r w:rsidR="00FF06B2">
        <w:rPr>
          <w:sz w:val="24"/>
          <w:szCs w:val="24"/>
        </w:rPr>
        <w:t>ilační výši rozpočtu</w:t>
      </w:r>
      <w:r w:rsidR="001B170C">
        <w:rPr>
          <w:sz w:val="24"/>
          <w:szCs w:val="24"/>
        </w:rPr>
        <w:t xml:space="preserve"> na rok 202</w:t>
      </w:r>
      <w:r w:rsidR="004468E7">
        <w:rPr>
          <w:sz w:val="24"/>
          <w:szCs w:val="24"/>
        </w:rPr>
        <w:t>5</w:t>
      </w:r>
      <w:r w:rsidRPr="009552EB">
        <w:rPr>
          <w:sz w:val="24"/>
          <w:szCs w:val="24"/>
        </w:rPr>
        <w:t>, poníženého o účelové prostř</w:t>
      </w:r>
      <w:r w:rsidR="00A968A5" w:rsidRPr="009552EB">
        <w:rPr>
          <w:sz w:val="24"/>
          <w:szCs w:val="24"/>
        </w:rPr>
        <w:t>e</w:t>
      </w:r>
      <w:r w:rsidR="001B170C">
        <w:rPr>
          <w:sz w:val="24"/>
          <w:szCs w:val="24"/>
        </w:rPr>
        <w:t>dky a odpadlé úkoly pro rok 202</w:t>
      </w:r>
      <w:r w:rsidR="004468E7">
        <w:rPr>
          <w:sz w:val="24"/>
          <w:szCs w:val="24"/>
        </w:rPr>
        <w:t>5</w:t>
      </w:r>
      <w:r w:rsidRPr="009552EB">
        <w:rPr>
          <w:sz w:val="24"/>
          <w:szCs w:val="24"/>
        </w:rPr>
        <w:t xml:space="preserve">, navýšeného o prostředky k zajištění nových úkolů a </w:t>
      </w:r>
      <w:r w:rsidR="001B170C">
        <w:rPr>
          <w:sz w:val="24"/>
          <w:szCs w:val="24"/>
        </w:rPr>
        <w:t>o účelové prostředky na rok 202</w:t>
      </w:r>
      <w:r w:rsidR="004468E7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. </w:t>
      </w:r>
    </w:p>
    <w:p w14:paraId="495CEFC0" w14:textId="77777777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Rozpočet </w:t>
      </w:r>
      <w:r w:rsidRPr="009552EB">
        <w:rPr>
          <w:sz w:val="24"/>
          <w:szCs w:val="24"/>
          <w:u w:val="single"/>
        </w:rPr>
        <w:t>kapitálových výdajů</w:t>
      </w:r>
      <w:r w:rsidR="00640878" w:rsidRPr="009552EB">
        <w:rPr>
          <w:sz w:val="24"/>
          <w:szCs w:val="24"/>
        </w:rPr>
        <w:t xml:space="preserve"> je soustředěn na financování </w:t>
      </w:r>
      <w:r w:rsidRPr="009552EB">
        <w:rPr>
          <w:sz w:val="24"/>
          <w:szCs w:val="24"/>
        </w:rPr>
        <w:t>rozpra</w:t>
      </w:r>
      <w:r w:rsidR="00640878" w:rsidRPr="009552EB">
        <w:rPr>
          <w:sz w:val="24"/>
          <w:szCs w:val="24"/>
        </w:rPr>
        <w:t xml:space="preserve">covaných akcí z let minulých a </w:t>
      </w:r>
      <w:r w:rsidRPr="009552EB">
        <w:rPr>
          <w:sz w:val="24"/>
          <w:szCs w:val="24"/>
        </w:rPr>
        <w:t>dále na ty nejdůležitější akce</w:t>
      </w:r>
      <w:r w:rsidR="00B41B17" w:rsidRPr="009552EB">
        <w:rPr>
          <w:sz w:val="24"/>
          <w:szCs w:val="24"/>
        </w:rPr>
        <w:t xml:space="preserve"> zejména z oblas</w:t>
      </w:r>
      <w:r w:rsidR="00C04223" w:rsidRPr="009552EB">
        <w:rPr>
          <w:sz w:val="24"/>
          <w:szCs w:val="24"/>
        </w:rPr>
        <w:t>ti školství, bezpečnosti a rekonstrukce silnic a chodníků</w:t>
      </w:r>
      <w:r w:rsidRPr="009552EB">
        <w:rPr>
          <w:sz w:val="24"/>
          <w:szCs w:val="24"/>
        </w:rPr>
        <w:t>.</w:t>
      </w:r>
    </w:p>
    <w:p w14:paraId="0D667C09" w14:textId="77777777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Z důvodu respektování </w:t>
      </w:r>
      <w:r w:rsidRPr="009552EB">
        <w:rPr>
          <w:sz w:val="24"/>
          <w:szCs w:val="24"/>
          <w:u w:val="single"/>
        </w:rPr>
        <w:t>zásady opatrnosti</w:t>
      </w:r>
      <w:r w:rsidRPr="009552EB">
        <w:rPr>
          <w:sz w:val="24"/>
          <w:szCs w:val="24"/>
        </w:rPr>
        <w:t xml:space="preserve"> jsou některé běžné i kapitálové příjmy mírně podhodnocovány, zatímco některé běžné i kapitálové výdaje mírně nadhodnocovány.</w:t>
      </w:r>
    </w:p>
    <w:p w14:paraId="2FB10C3C" w14:textId="4A08DCBC" w:rsidR="009744B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Na základě zásady </w:t>
      </w:r>
      <w:r w:rsidRPr="009552EB">
        <w:rPr>
          <w:sz w:val="24"/>
          <w:szCs w:val="24"/>
          <w:u w:val="single"/>
        </w:rPr>
        <w:t>bilanční rovnosti</w:t>
      </w:r>
      <w:r w:rsidR="003414C2">
        <w:rPr>
          <w:sz w:val="24"/>
          <w:szCs w:val="24"/>
        </w:rPr>
        <w:t xml:space="preserve"> je návrh rozpočtu na rok 202</w:t>
      </w:r>
      <w:r w:rsidR="004468E7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sestaven ve vyrovnané výši příjmů a výdajů. Záporný rozpočet je možné sestavit pouze se souhlasem hlavního města Prahy. </w:t>
      </w:r>
    </w:p>
    <w:p w14:paraId="362F1EA8" w14:textId="77777777" w:rsidR="009744BB" w:rsidRDefault="009744BB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B7EA19" w14:textId="77777777" w:rsidR="00FE65DA" w:rsidRDefault="00FE65DA" w:rsidP="006A784A">
      <w:pPr>
        <w:pStyle w:val="Nadpis2"/>
        <w:jc w:val="both"/>
      </w:pPr>
      <w:bookmarkStart w:id="12" w:name="_Toc317112448"/>
      <w:bookmarkStart w:id="13" w:name="_Toc317113216"/>
      <w:bookmarkStart w:id="14" w:name="_Toc317117244"/>
      <w:bookmarkStart w:id="15" w:name="_Toc220164734"/>
      <w:bookmarkEnd w:id="12"/>
      <w:bookmarkEnd w:id="13"/>
      <w:bookmarkEnd w:id="14"/>
      <w:r>
        <w:lastRenderedPageBreak/>
        <w:t xml:space="preserve">Bilance </w:t>
      </w:r>
      <w:r w:rsidR="000C7131">
        <w:t>p</w:t>
      </w:r>
      <w:r>
        <w:t>říjmů a výdajů</w:t>
      </w:r>
      <w:bookmarkEnd w:id="15"/>
    </w:p>
    <w:p w14:paraId="529C9D78" w14:textId="2AADBD42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5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Bilance příjmů a výdaj</w:t>
      </w:r>
      <w:r w:rsidR="00D173AA" w:rsidRPr="009552EB">
        <w:rPr>
          <w:sz w:val="24"/>
          <w:szCs w:val="24"/>
        </w:rPr>
        <w:t>ů</w:t>
      </w:r>
    </w:p>
    <w:p w14:paraId="7F34C3F8" w14:textId="418ACD70" w:rsidR="00FE65DA" w:rsidRPr="00380DB3" w:rsidRDefault="006A22ED" w:rsidP="00EB561E">
      <w:pPr>
        <w:jc w:val="center"/>
      </w:pPr>
      <w:r w:rsidRPr="006A22ED">
        <w:rPr>
          <w:noProof/>
        </w:rPr>
        <w:drawing>
          <wp:inline distT="0" distB="0" distL="0" distR="0" wp14:anchorId="04F818C2" wp14:editId="6738DC43">
            <wp:extent cx="5977255" cy="3978910"/>
            <wp:effectExtent l="0" t="0" r="4445" b="2540"/>
            <wp:docPr id="4474526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4526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F0F3C" w14:textId="77777777" w:rsidR="00FE65DA" w:rsidRPr="00CA0E21" w:rsidRDefault="00FE65DA" w:rsidP="006A784A">
      <w:pPr>
        <w:pStyle w:val="Nadpis3"/>
        <w:jc w:val="both"/>
      </w:pPr>
      <w:bookmarkStart w:id="16" w:name="_Toc317112450"/>
      <w:bookmarkStart w:id="17" w:name="_Toc317113218"/>
      <w:bookmarkStart w:id="18" w:name="_Toc317117246"/>
      <w:bookmarkStart w:id="19" w:name="_Toc317112451"/>
      <w:bookmarkStart w:id="20" w:name="_Toc317113219"/>
      <w:bookmarkStart w:id="21" w:name="_Toc317117247"/>
      <w:bookmarkStart w:id="22" w:name="_Toc317112452"/>
      <w:bookmarkStart w:id="23" w:name="_Toc317113220"/>
      <w:bookmarkStart w:id="24" w:name="_Toc317117248"/>
      <w:bookmarkStart w:id="25" w:name="_Toc317112453"/>
      <w:bookmarkStart w:id="26" w:name="_Toc317113221"/>
      <w:bookmarkStart w:id="27" w:name="_Toc317117249"/>
      <w:bookmarkStart w:id="28" w:name="_Toc284936634"/>
      <w:bookmarkStart w:id="29" w:name="_Toc22016473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CA0E21">
        <w:t>Financování</w:t>
      </w:r>
      <w:bookmarkEnd w:id="28"/>
      <w:bookmarkEnd w:id="29"/>
    </w:p>
    <w:p w14:paraId="42083A4D" w14:textId="77777777" w:rsidR="00FE65DA" w:rsidRPr="00FF420D" w:rsidRDefault="00FE65DA" w:rsidP="006A784A">
      <w:pPr>
        <w:spacing w:line="240" w:lineRule="auto"/>
        <w:jc w:val="both"/>
        <w:rPr>
          <w:sz w:val="24"/>
          <w:szCs w:val="24"/>
        </w:rPr>
      </w:pPr>
      <w:r w:rsidRPr="00FF420D">
        <w:rPr>
          <w:sz w:val="24"/>
          <w:szCs w:val="24"/>
        </w:rPr>
        <w:t>Kapitola 10 – Pokladní správa</w:t>
      </w:r>
    </w:p>
    <w:p w14:paraId="50B17D14" w14:textId="77777777" w:rsidR="00FE65DA" w:rsidRPr="00FF420D" w:rsidRDefault="00FE65DA" w:rsidP="006A784A">
      <w:pPr>
        <w:spacing w:line="240" w:lineRule="auto"/>
        <w:jc w:val="both"/>
        <w:rPr>
          <w:sz w:val="24"/>
          <w:szCs w:val="24"/>
        </w:rPr>
      </w:pPr>
      <w:r w:rsidRPr="00FF420D">
        <w:rPr>
          <w:sz w:val="24"/>
          <w:szCs w:val="24"/>
        </w:rPr>
        <w:t>Pol. 8115 – Změna stavu krátkodobých prostředků na bankovních účtech</w:t>
      </w:r>
    </w:p>
    <w:p w14:paraId="441851B1" w14:textId="70BB5DD3" w:rsidR="00FE65DA" w:rsidRPr="009552EB" w:rsidRDefault="00FE65DA" w:rsidP="006A784A">
      <w:pPr>
        <w:spacing w:before="0" w:after="0"/>
        <w:jc w:val="both"/>
        <w:rPr>
          <w:sz w:val="24"/>
          <w:szCs w:val="24"/>
        </w:rPr>
      </w:pPr>
      <w:r w:rsidRPr="009552EB">
        <w:rPr>
          <w:bCs/>
          <w:sz w:val="24"/>
          <w:szCs w:val="24"/>
        </w:rPr>
        <w:t xml:space="preserve">Celkové výdaje ve výši </w:t>
      </w:r>
      <w:r w:rsidR="006A22ED">
        <w:rPr>
          <w:b/>
          <w:bCs/>
          <w:sz w:val="24"/>
          <w:szCs w:val="24"/>
        </w:rPr>
        <w:t>482 451 900</w:t>
      </w:r>
      <w:r w:rsidR="007C7870">
        <w:rPr>
          <w:b/>
          <w:bCs/>
          <w:sz w:val="24"/>
          <w:szCs w:val="24"/>
        </w:rPr>
        <w:t xml:space="preserve"> </w:t>
      </w:r>
      <w:r w:rsidRPr="009552EB">
        <w:rPr>
          <w:b/>
          <w:sz w:val="24"/>
          <w:szCs w:val="24"/>
        </w:rPr>
        <w:t xml:space="preserve">Kč </w:t>
      </w:r>
      <w:r w:rsidRPr="009552EB">
        <w:rPr>
          <w:sz w:val="24"/>
          <w:szCs w:val="24"/>
        </w:rPr>
        <w:t xml:space="preserve">budou hrazeny z  příjmů, které jsou rozpočtovány ve výši </w:t>
      </w:r>
      <w:r w:rsidR="004643EE">
        <w:rPr>
          <w:b/>
          <w:sz w:val="24"/>
          <w:szCs w:val="24"/>
        </w:rPr>
        <w:t>187 659 000</w:t>
      </w:r>
      <w:r w:rsidRPr="009552EB">
        <w:rPr>
          <w:sz w:val="24"/>
          <w:szCs w:val="24"/>
        </w:rPr>
        <w:t xml:space="preserve"> </w:t>
      </w:r>
      <w:r w:rsidRPr="007C7870">
        <w:rPr>
          <w:b/>
          <w:sz w:val="24"/>
          <w:szCs w:val="24"/>
        </w:rPr>
        <w:t>Kč</w:t>
      </w:r>
      <w:r w:rsidR="00D229B2" w:rsidRPr="00D229B2">
        <w:rPr>
          <w:sz w:val="24"/>
          <w:szCs w:val="24"/>
        </w:rPr>
        <w:t>.</w:t>
      </w:r>
      <w:r w:rsidR="00D229B2">
        <w:rPr>
          <w:sz w:val="24"/>
          <w:szCs w:val="24"/>
        </w:rPr>
        <w:t xml:space="preserve"> </w:t>
      </w:r>
      <w:r w:rsidR="00A968A5" w:rsidRPr="009552EB">
        <w:rPr>
          <w:sz w:val="24"/>
          <w:szCs w:val="24"/>
        </w:rPr>
        <w:t xml:space="preserve">Vzniklý schodek </w:t>
      </w:r>
      <w:r w:rsidR="00D229B2">
        <w:rPr>
          <w:sz w:val="24"/>
          <w:szCs w:val="24"/>
        </w:rPr>
        <w:t xml:space="preserve">ve výši </w:t>
      </w:r>
      <w:r w:rsidR="004643EE">
        <w:rPr>
          <w:b/>
          <w:sz w:val="24"/>
          <w:szCs w:val="24"/>
        </w:rPr>
        <w:t>294 792 900</w:t>
      </w:r>
      <w:r w:rsidR="00D229B2" w:rsidRPr="00D229B2">
        <w:rPr>
          <w:b/>
          <w:sz w:val="24"/>
          <w:szCs w:val="24"/>
        </w:rPr>
        <w:t xml:space="preserve"> Kč</w:t>
      </w:r>
      <w:r w:rsidR="00D229B2">
        <w:rPr>
          <w:sz w:val="24"/>
          <w:szCs w:val="24"/>
        </w:rPr>
        <w:t xml:space="preserve"> </w:t>
      </w:r>
      <w:r w:rsidR="00A968A5" w:rsidRPr="009552EB">
        <w:rPr>
          <w:sz w:val="24"/>
          <w:szCs w:val="24"/>
        </w:rPr>
        <w:t>je vyrovnán</w:t>
      </w:r>
      <w:r w:rsidR="00D229B2">
        <w:rPr>
          <w:sz w:val="24"/>
          <w:szCs w:val="24"/>
        </w:rPr>
        <w:t xml:space="preserve"> zapojením</w:t>
      </w:r>
      <w:r w:rsidR="00D229B2" w:rsidRPr="009552EB">
        <w:rPr>
          <w:sz w:val="24"/>
          <w:szCs w:val="24"/>
        </w:rPr>
        <w:t> </w:t>
      </w:r>
      <w:r w:rsidR="00D229B2">
        <w:rPr>
          <w:sz w:val="24"/>
          <w:szCs w:val="24"/>
        </w:rPr>
        <w:t xml:space="preserve">nedočerpaných účelových dotací a </w:t>
      </w:r>
      <w:r w:rsidR="00D229B2" w:rsidRPr="009552EB">
        <w:rPr>
          <w:sz w:val="24"/>
          <w:szCs w:val="24"/>
        </w:rPr>
        <w:t>z převodu prostřed</w:t>
      </w:r>
      <w:r w:rsidR="00D229B2">
        <w:rPr>
          <w:sz w:val="24"/>
          <w:szCs w:val="24"/>
        </w:rPr>
        <w:t>ků obdržených na konci roku 202</w:t>
      </w:r>
      <w:r w:rsidR="007462F3">
        <w:rPr>
          <w:sz w:val="24"/>
          <w:szCs w:val="24"/>
        </w:rPr>
        <w:t>5</w:t>
      </w:r>
      <w:r w:rsidR="00EB561E">
        <w:rPr>
          <w:sz w:val="24"/>
          <w:szCs w:val="24"/>
        </w:rPr>
        <w:t xml:space="preserve"> </w:t>
      </w:r>
      <w:r w:rsidR="00DC40D4" w:rsidRPr="009552EB">
        <w:rPr>
          <w:sz w:val="24"/>
          <w:szCs w:val="24"/>
        </w:rPr>
        <w:t>ve výši</w:t>
      </w:r>
      <w:r w:rsidR="00D229B2">
        <w:rPr>
          <w:sz w:val="24"/>
          <w:szCs w:val="24"/>
        </w:rPr>
        <w:t xml:space="preserve"> </w:t>
      </w:r>
      <w:r w:rsidR="00DA7BA8">
        <w:rPr>
          <w:b/>
          <w:sz w:val="24"/>
          <w:szCs w:val="24"/>
        </w:rPr>
        <w:t>220 908 600</w:t>
      </w:r>
      <w:r w:rsidR="00DC40D4" w:rsidRPr="009552EB">
        <w:rPr>
          <w:b/>
          <w:sz w:val="24"/>
          <w:szCs w:val="24"/>
        </w:rPr>
        <w:t xml:space="preserve"> Kč</w:t>
      </w:r>
      <w:r w:rsidR="00DC40D4" w:rsidRPr="009552EB">
        <w:rPr>
          <w:sz w:val="24"/>
          <w:szCs w:val="24"/>
        </w:rPr>
        <w:t xml:space="preserve"> </w:t>
      </w:r>
      <w:r w:rsidR="00EB561E">
        <w:rPr>
          <w:sz w:val="24"/>
          <w:szCs w:val="24"/>
        </w:rPr>
        <w:t xml:space="preserve">  </w:t>
      </w:r>
      <w:r w:rsidR="00DC40D4" w:rsidRPr="009552EB">
        <w:rPr>
          <w:sz w:val="24"/>
          <w:szCs w:val="24"/>
        </w:rPr>
        <w:t xml:space="preserve">a z peněžních </w:t>
      </w:r>
      <w:r w:rsidRPr="009552EB">
        <w:rPr>
          <w:sz w:val="24"/>
          <w:szCs w:val="24"/>
        </w:rPr>
        <w:t>prostředků</w:t>
      </w:r>
      <w:r w:rsidR="00A968A5" w:rsidRPr="009552EB">
        <w:rPr>
          <w:sz w:val="24"/>
          <w:szCs w:val="24"/>
        </w:rPr>
        <w:t xml:space="preserve"> vytvořených v minulých letech,</w:t>
      </w:r>
      <w:r w:rsidR="009F5B7E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 xml:space="preserve">z kterých bude uvolněna částka ve výši </w:t>
      </w:r>
      <w:r w:rsidR="00DA7BA8">
        <w:rPr>
          <w:b/>
          <w:sz w:val="24"/>
          <w:szCs w:val="24"/>
        </w:rPr>
        <w:t xml:space="preserve">73 884 300 </w:t>
      </w:r>
      <w:r w:rsidRPr="009552EB">
        <w:rPr>
          <w:b/>
          <w:bCs/>
          <w:sz w:val="24"/>
          <w:szCs w:val="24"/>
        </w:rPr>
        <w:t>Kč</w:t>
      </w:r>
      <w:r w:rsidRPr="009552EB">
        <w:rPr>
          <w:sz w:val="24"/>
          <w:szCs w:val="24"/>
        </w:rPr>
        <w:t xml:space="preserve">. </w:t>
      </w:r>
    </w:p>
    <w:p w14:paraId="7402BC94" w14:textId="77777777" w:rsidR="00A968A5" w:rsidRDefault="00C4319E" w:rsidP="006A784A">
      <w:pPr>
        <w:spacing w:before="0" w:after="0"/>
        <w:jc w:val="both"/>
      </w:pPr>
      <w:r>
        <w:br w:type="page"/>
      </w:r>
    </w:p>
    <w:p w14:paraId="28096C55" w14:textId="77777777" w:rsidR="00FE65DA" w:rsidRDefault="00FE65DA" w:rsidP="006A784A">
      <w:pPr>
        <w:pStyle w:val="Nadpis3"/>
        <w:jc w:val="both"/>
      </w:pPr>
      <w:bookmarkStart w:id="30" w:name="_Toc220164736"/>
      <w:r>
        <w:lastRenderedPageBreak/>
        <w:t>Přehled hlavních ukazatelů rozpočtu</w:t>
      </w:r>
      <w:bookmarkEnd w:id="30"/>
    </w:p>
    <w:p w14:paraId="0C8DC862" w14:textId="24DAD81A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V následujícím grafu je znázorněn</w:t>
      </w:r>
      <w:r w:rsidR="00C9031C" w:rsidRPr="009552EB">
        <w:rPr>
          <w:sz w:val="24"/>
          <w:szCs w:val="24"/>
        </w:rPr>
        <w:t xml:space="preserve">o, jak dopadl </w:t>
      </w:r>
      <w:r w:rsidR="009F5B7E" w:rsidRPr="009552EB">
        <w:rPr>
          <w:sz w:val="24"/>
          <w:szCs w:val="24"/>
        </w:rPr>
        <w:t>návrh rozpočtu na</w:t>
      </w:r>
      <w:r w:rsidR="001B170C">
        <w:rPr>
          <w:sz w:val="24"/>
          <w:szCs w:val="24"/>
        </w:rPr>
        <w:t xml:space="preserve"> rok 202</w:t>
      </w:r>
      <w:r w:rsidR="007462F3">
        <w:rPr>
          <w:sz w:val="24"/>
          <w:szCs w:val="24"/>
        </w:rPr>
        <w:t>5</w:t>
      </w:r>
      <w:r w:rsidRPr="009552EB">
        <w:rPr>
          <w:sz w:val="24"/>
          <w:szCs w:val="24"/>
        </w:rPr>
        <w:t xml:space="preserve"> ve srovnání </w:t>
      </w:r>
      <w:r w:rsidR="000C40AE">
        <w:rPr>
          <w:sz w:val="24"/>
          <w:szCs w:val="24"/>
        </w:rPr>
        <w:t xml:space="preserve">                       </w:t>
      </w:r>
      <w:r w:rsidRPr="009552EB">
        <w:rPr>
          <w:sz w:val="24"/>
          <w:szCs w:val="24"/>
        </w:rPr>
        <w:t>se skutečností a dále je zde zanesen</w:t>
      </w:r>
      <w:r w:rsidR="00C9031C" w:rsidRPr="009552EB">
        <w:rPr>
          <w:sz w:val="24"/>
          <w:szCs w:val="24"/>
        </w:rPr>
        <w:t xml:space="preserve"> také návrh rozpočtu na </w:t>
      </w:r>
      <w:r w:rsidR="001B170C">
        <w:rPr>
          <w:sz w:val="24"/>
          <w:szCs w:val="24"/>
        </w:rPr>
        <w:t>rok 202</w:t>
      </w:r>
      <w:r w:rsidR="007462F3">
        <w:rPr>
          <w:sz w:val="24"/>
          <w:szCs w:val="24"/>
        </w:rPr>
        <w:t>6</w:t>
      </w:r>
      <w:r w:rsidR="006B019C" w:rsidRPr="009552EB">
        <w:rPr>
          <w:sz w:val="24"/>
          <w:szCs w:val="24"/>
        </w:rPr>
        <w:t>.</w:t>
      </w:r>
      <w:r w:rsidRPr="009552EB">
        <w:rPr>
          <w:sz w:val="24"/>
          <w:szCs w:val="24"/>
        </w:rPr>
        <w:t xml:space="preserve"> </w:t>
      </w:r>
    </w:p>
    <w:p w14:paraId="364D005D" w14:textId="77777777" w:rsidR="00FE65DA" w:rsidRDefault="00FE65DA" w:rsidP="00DC40D4">
      <w:pPr>
        <w:spacing w:before="0" w:after="0" w:line="240" w:lineRule="auto"/>
        <w:jc w:val="center"/>
        <w:rPr>
          <w:b/>
          <w:bCs/>
          <w:color w:val="4F81BD"/>
          <w:sz w:val="18"/>
          <w:szCs w:val="18"/>
        </w:rPr>
      </w:pPr>
    </w:p>
    <w:p w14:paraId="4313C26E" w14:textId="20800C23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Graf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Graf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1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Přehled </w:t>
      </w:r>
      <w:r w:rsidR="006B019C" w:rsidRPr="009552EB">
        <w:rPr>
          <w:sz w:val="24"/>
          <w:szCs w:val="24"/>
        </w:rPr>
        <w:t>hlavních ukazatelů rozpočtu 202</w:t>
      </w:r>
      <w:r w:rsidR="007462F3">
        <w:rPr>
          <w:sz w:val="24"/>
          <w:szCs w:val="24"/>
        </w:rPr>
        <w:t>5</w:t>
      </w:r>
      <w:r w:rsidR="001B170C">
        <w:rPr>
          <w:sz w:val="24"/>
          <w:szCs w:val="24"/>
        </w:rPr>
        <w:t xml:space="preserve"> vs. 202</w:t>
      </w:r>
      <w:r w:rsidR="007462F3">
        <w:rPr>
          <w:sz w:val="24"/>
          <w:szCs w:val="24"/>
        </w:rPr>
        <w:t>6</w:t>
      </w:r>
    </w:p>
    <w:p w14:paraId="6816DD36" w14:textId="4560F5AD" w:rsidR="003B4503" w:rsidRPr="00380DB3" w:rsidRDefault="009B49E6" w:rsidP="003414C2">
      <w:pPr>
        <w:jc w:val="center"/>
      </w:pPr>
      <w:r w:rsidRPr="009B49E6">
        <w:rPr>
          <w:noProof/>
        </w:rPr>
        <w:drawing>
          <wp:inline distT="0" distB="0" distL="0" distR="0" wp14:anchorId="33BDC49E" wp14:editId="6AE10005">
            <wp:extent cx="5977255" cy="2952750"/>
            <wp:effectExtent l="0" t="0" r="4445" b="0"/>
            <wp:docPr id="16691850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8508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145FF" w14:textId="04A58C4A" w:rsidR="00C4319E" w:rsidRDefault="003B4503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První </w:t>
      </w:r>
      <w:r w:rsidR="00EC78AE">
        <w:rPr>
          <w:sz w:val="24"/>
          <w:szCs w:val="24"/>
        </w:rPr>
        <w:t xml:space="preserve">tři </w:t>
      </w:r>
      <w:r w:rsidRPr="009552EB">
        <w:rPr>
          <w:sz w:val="24"/>
          <w:szCs w:val="24"/>
        </w:rPr>
        <w:t>sloupce zah</w:t>
      </w:r>
      <w:r w:rsidR="00A30243">
        <w:rPr>
          <w:sz w:val="24"/>
          <w:szCs w:val="24"/>
        </w:rPr>
        <w:t>rnují návrh rozpočtu na rok 202</w:t>
      </w:r>
      <w:r w:rsidR="007462F3">
        <w:rPr>
          <w:sz w:val="24"/>
          <w:szCs w:val="24"/>
        </w:rPr>
        <w:t>5</w:t>
      </w:r>
      <w:r w:rsidR="000654D5">
        <w:rPr>
          <w:sz w:val="24"/>
          <w:szCs w:val="24"/>
        </w:rPr>
        <w:t>,</w:t>
      </w:r>
      <w:r w:rsidR="00A968A5" w:rsidRPr="009552EB">
        <w:rPr>
          <w:sz w:val="24"/>
          <w:szCs w:val="24"/>
        </w:rPr>
        <w:t xml:space="preserve"> druh</w:t>
      </w:r>
      <w:r w:rsidR="00EC78AE">
        <w:rPr>
          <w:sz w:val="24"/>
          <w:szCs w:val="24"/>
        </w:rPr>
        <w:t>é tři</w:t>
      </w:r>
      <w:r w:rsidRPr="009552EB">
        <w:rPr>
          <w:sz w:val="24"/>
          <w:szCs w:val="24"/>
        </w:rPr>
        <w:t xml:space="preserve"> sloup</w:t>
      </w:r>
      <w:r w:rsidR="00EC78AE">
        <w:rPr>
          <w:sz w:val="24"/>
          <w:szCs w:val="24"/>
        </w:rPr>
        <w:t>ce</w:t>
      </w:r>
      <w:r w:rsidR="0017580C" w:rsidRPr="009552EB">
        <w:rPr>
          <w:sz w:val="24"/>
          <w:szCs w:val="24"/>
        </w:rPr>
        <w:t xml:space="preserve"> skutečnost v roce 20</w:t>
      </w:r>
      <w:r w:rsidR="00A30243">
        <w:rPr>
          <w:sz w:val="24"/>
          <w:szCs w:val="24"/>
        </w:rPr>
        <w:t>2</w:t>
      </w:r>
      <w:r w:rsidR="004E1431">
        <w:rPr>
          <w:sz w:val="24"/>
          <w:szCs w:val="24"/>
        </w:rPr>
        <w:t>5</w:t>
      </w:r>
      <w:r w:rsidR="0017580C" w:rsidRPr="009552EB">
        <w:rPr>
          <w:sz w:val="24"/>
          <w:szCs w:val="24"/>
        </w:rPr>
        <w:t xml:space="preserve"> </w:t>
      </w:r>
      <w:r w:rsidR="000C40AE">
        <w:rPr>
          <w:sz w:val="24"/>
          <w:szCs w:val="24"/>
        </w:rPr>
        <w:t xml:space="preserve">    </w:t>
      </w:r>
      <w:r w:rsidR="0017580C" w:rsidRPr="009552EB">
        <w:rPr>
          <w:sz w:val="24"/>
          <w:szCs w:val="24"/>
        </w:rPr>
        <w:t xml:space="preserve">a poslední </w:t>
      </w:r>
      <w:r w:rsidR="00EC78AE">
        <w:rPr>
          <w:sz w:val="24"/>
          <w:szCs w:val="24"/>
        </w:rPr>
        <w:t xml:space="preserve">tři </w:t>
      </w:r>
      <w:r w:rsidR="0017580C" w:rsidRPr="009552EB">
        <w:rPr>
          <w:sz w:val="24"/>
          <w:szCs w:val="24"/>
        </w:rPr>
        <w:t>sloup</w:t>
      </w:r>
      <w:r w:rsidR="00EC78AE">
        <w:rPr>
          <w:sz w:val="24"/>
          <w:szCs w:val="24"/>
        </w:rPr>
        <w:t>ce</w:t>
      </w:r>
      <w:r w:rsidR="00A968A5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repreze</w:t>
      </w:r>
      <w:r w:rsidR="00BA3225" w:rsidRPr="009552EB">
        <w:rPr>
          <w:sz w:val="24"/>
          <w:szCs w:val="24"/>
        </w:rPr>
        <w:t>ntuj</w:t>
      </w:r>
      <w:r w:rsidR="00A968A5" w:rsidRPr="009552EB">
        <w:rPr>
          <w:sz w:val="24"/>
          <w:szCs w:val="24"/>
        </w:rPr>
        <w:t>e</w:t>
      </w:r>
      <w:r w:rsidR="00A30243">
        <w:rPr>
          <w:sz w:val="24"/>
          <w:szCs w:val="24"/>
        </w:rPr>
        <w:t xml:space="preserve"> návrh rozpočtu v roce 202</w:t>
      </w:r>
      <w:r w:rsidR="004E1431">
        <w:rPr>
          <w:sz w:val="24"/>
          <w:szCs w:val="24"/>
        </w:rPr>
        <w:t>6</w:t>
      </w:r>
      <w:r w:rsidRPr="009552EB">
        <w:rPr>
          <w:sz w:val="24"/>
          <w:szCs w:val="24"/>
        </w:rPr>
        <w:t>.</w:t>
      </w:r>
    </w:p>
    <w:p w14:paraId="0D571843" w14:textId="77777777" w:rsidR="00FE65DA" w:rsidRPr="009552EB" w:rsidRDefault="00C4319E" w:rsidP="006A784A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14A86E6" w14:textId="77777777" w:rsidR="00FE65DA" w:rsidRDefault="00FE65DA" w:rsidP="006A784A">
      <w:pPr>
        <w:pStyle w:val="Nadpis2"/>
        <w:jc w:val="both"/>
      </w:pPr>
      <w:bookmarkStart w:id="31" w:name="_Toc317117252"/>
      <w:bookmarkStart w:id="32" w:name="_Toc317112455"/>
      <w:bookmarkStart w:id="33" w:name="_Toc317113223"/>
      <w:bookmarkStart w:id="34" w:name="_Toc317117253"/>
      <w:bookmarkStart w:id="35" w:name="_Toc220164737"/>
      <w:bookmarkEnd w:id="31"/>
      <w:bookmarkEnd w:id="32"/>
      <w:bookmarkEnd w:id="33"/>
      <w:bookmarkEnd w:id="34"/>
      <w:r>
        <w:lastRenderedPageBreak/>
        <w:t>Příjmy</w:t>
      </w:r>
      <w:bookmarkEnd w:id="35"/>
    </w:p>
    <w:p w14:paraId="0326071E" w14:textId="6423686B" w:rsidR="00A968A5" w:rsidRPr="009552EB" w:rsidRDefault="00C9031C" w:rsidP="006A784A">
      <w:pPr>
        <w:jc w:val="both"/>
        <w:rPr>
          <w:b/>
          <w:sz w:val="24"/>
          <w:szCs w:val="24"/>
        </w:rPr>
      </w:pPr>
      <w:bookmarkStart w:id="36" w:name="_Toc284936635"/>
      <w:r w:rsidRPr="009552EB">
        <w:rPr>
          <w:sz w:val="24"/>
          <w:szCs w:val="24"/>
        </w:rPr>
        <w:t>V návr</w:t>
      </w:r>
      <w:r w:rsidR="00DC40D4" w:rsidRPr="009552EB">
        <w:rPr>
          <w:sz w:val="24"/>
          <w:szCs w:val="24"/>
        </w:rPr>
        <w:t>hu rozpočtu na rok 202</w:t>
      </w:r>
      <w:r w:rsidR="004E1431">
        <w:rPr>
          <w:sz w:val="24"/>
          <w:szCs w:val="24"/>
        </w:rPr>
        <w:t>6</w:t>
      </w:r>
      <w:r w:rsidR="00FE65DA" w:rsidRPr="009552EB">
        <w:rPr>
          <w:sz w:val="24"/>
          <w:szCs w:val="24"/>
        </w:rPr>
        <w:t xml:space="preserve"> objem všech příjmů</w:t>
      </w:r>
      <w:r w:rsidR="00157FDC">
        <w:rPr>
          <w:sz w:val="24"/>
          <w:szCs w:val="24"/>
        </w:rPr>
        <w:t xml:space="preserve"> (</w:t>
      </w:r>
      <w:r w:rsidR="00FE65DA" w:rsidRPr="009552EB">
        <w:rPr>
          <w:sz w:val="24"/>
          <w:szCs w:val="24"/>
        </w:rPr>
        <w:t>tj. dotace ze státního rozpočtu, z rozpočtu hl. města Prahy, vlastní příjmy, daň z nemovitosti, převody z hospodářské činnosti</w:t>
      </w:r>
      <w:r w:rsidR="00157FDC">
        <w:rPr>
          <w:sz w:val="24"/>
          <w:szCs w:val="24"/>
        </w:rPr>
        <w:t>)</w:t>
      </w:r>
      <w:r w:rsidR="00FE65DA" w:rsidRPr="009552EB">
        <w:rPr>
          <w:sz w:val="24"/>
          <w:szCs w:val="24"/>
        </w:rPr>
        <w:t xml:space="preserve"> tvoří </w:t>
      </w:r>
      <w:r w:rsidR="00FE65DA" w:rsidRPr="009552EB">
        <w:rPr>
          <w:b/>
          <w:sz w:val="24"/>
          <w:szCs w:val="24"/>
        </w:rPr>
        <w:t xml:space="preserve">celkové příjmy ve výši </w:t>
      </w:r>
      <w:r w:rsidR="00B465DC">
        <w:rPr>
          <w:b/>
          <w:sz w:val="24"/>
          <w:szCs w:val="24"/>
        </w:rPr>
        <w:t>187 659 000</w:t>
      </w:r>
      <w:r w:rsidR="00FE65DA" w:rsidRPr="009552EB">
        <w:rPr>
          <w:b/>
          <w:sz w:val="24"/>
          <w:szCs w:val="24"/>
        </w:rPr>
        <w:t xml:space="preserve"> Kč. </w:t>
      </w:r>
    </w:p>
    <w:p w14:paraId="64EBAA0A" w14:textId="77777777" w:rsidR="00C4319E" w:rsidRDefault="00D13C6E" w:rsidP="006A784A">
      <w:pPr>
        <w:jc w:val="both"/>
        <w:rPr>
          <w:b/>
        </w:rPr>
      </w:pPr>
      <w:r>
        <w:rPr>
          <w:b/>
        </w:rPr>
        <w:t xml:space="preserve"> </w:t>
      </w:r>
    </w:p>
    <w:p w14:paraId="3FE73EEA" w14:textId="77777777" w:rsidR="00FE65DA" w:rsidRDefault="00FE65DA" w:rsidP="006A784A">
      <w:pPr>
        <w:pStyle w:val="Nadpis3"/>
        <w:jc w:val="both"/>
      </w:pPr>
      <w:bookmarkStart w:id="37" w:name="_Toc317112457"/>
      <w:bookmarkStart w:id="38" w:name="_Toc317113225"/>
      <w:bookmarkStart w:id="39" w:name="_Toc317117255"/>
      <w:bookmarkStart w:id="40" w:name="_Toc317112458"/>
      <w:bookmarkStart w:id="41" w:name="_Toc317113226"/>
      <w:bookmarkStart w:id="42" w:name="_Toc317117256"/>
      <w:bookmarkStart w:id="43" w:name="_Toc220164738"/>
      <w:bookmarkEnd w:id="36"/>
      <w:bookmarkEnd w:id="37"/>
      <w:bookmarkEnd w:id="38"/>
      <w:bookmarkEnd w:id="39"/>
      <w:bookmarkEnd w:id="40"/>
      <w:bookmarkEnd w:id="41"/>
      <w:bookmarkEnd w:id="42"/>
      <w:r>
        <w:t>Běžné příjmy</w:t>
      </w:r>
      <w:bookmarkEnd w:id="43"/>
    </w:p>
    <w:p w14:paraId="25657C76" w14:textId="59B7AB95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Z výše uvedené částky celkových pří</w:t>
      </w:r>
      <w:r w:rsidR="0044610D" w:rsidRPr="009552EB">
        <w:rPr>
          <w:sz w:val="24"/>
          <w:szCs w:val="24"/>
        </w:rPr>
        <w:t xml:space="preserve">jmů tvoří běžné příjmy částku </w:t>
      </w:r>
      <w:r w:rsidR="00B465DC">
        <w:rPr>
          <w:b/>
          <w:sz w:val="24"/>
          <w:szCs w:val="24"/>
        </w:rPr>
        <w:t>161 504 000</w:t>
      </w:r>
      <w:r w:rsidR="000C5D32" w:rsidRPr="009552EB">
        <w:rPr>
          <w:b/>
          <w:sz w:val="24"/>
          <w:szCs w:val="24"/>
        </w:rPr>
        <w:t xml:space="preserve"> </w:t>
      </w:r>
      <w:r w:rsidRPr="009552EB">
        <w:rPr>
          <w:b/>
          <w:sz w:val="24"/>
          <w:szCs w:val="24"/>
        </w:rPr>
        <w:t>Kč</w:t>
      </w:r>
      <w:r w:rsidRPr="009552EB">
        <w:rPr>
          <w:sz w:val="24"/>
          <w:szCs w:val="24"/>
        </w:rPr>
        <w:t xml:space="preserve"> a jsou rozpočtovány v následujících kapitolách:</w:t>
      </w:r>
    </w:p>
    <w:p w14:paraId="41649275" w14:textId="2AE5FF3E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6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02 – Městská infrastruktura, běžné příjmy</w:t>
      </w:r>
    </w:p>
    <w:p w14:paraId="4A53794E" w14:textId="473CBF1C" w:rsidR="0032343C" w:rsidRDefault="006D7831" w:rsidP="006D7831">
      <w:pPr>
        <w:jc w:val="center"/>
      </w:pPr>
      <w:r w:rsidRPr="006D7831">
        <w:rPr>
          <w:noProof/>
        </w:rPr>
        <w:drawing>
          <wp:inline distT="0" distB="0" distL="0" distR="0" wp14:anchorId="007C63A0" wp14:editId="5A489294">
            <wp:extent cx="5977255" cy="645160"/>
            <wp:effectExtent l="0" t="0" r="4445" b="2540"/>
            <wp:docPr id="351968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682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18743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3414C2">
        <w:rPr>
          <w:sz w:val="24"/>
          <w:szCs w:val="24"/>
        </w:rPr>
        <w:t>2</w:t>
      </w:r>
      <w:r w:rsidRPr="009552EB">
        <w:rPr>
          <w:sz w:val="24"/>
          <w:szCs w:val="24"/>
        </w:rPr>
        <w:t> 000 Kč.</w:t>
      </w:r>
    </w:p>
    <w:p w14:paraId="5B8F250D" w14:textId="77777777" w:rsidR="0044610D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37</w:t>
      </w:r>
      <w:r w:rsidR="00356DA9">
        <w:rPr>
          <w:b/>
          <w:sz w:val="24"/>
          <w:szCs w:val="24"/>
        </w:rPr>
        <w:t>45</w:t>
      </w:r>
      <w:r w:rsidR="00563692" w:rsidRPr="009552EB">
        <w:rPr>
          <w:sz w:val="24"/>
          <w:szCs w:val="24"/>
        </w:rPr>
        <w:t xml:space="preserve"> – příjmy vybírané</w:t>
      </w:r>
      <w:r w:rsidRPr="009552EB">
        <w:rPr>
          <w:sz w:val="24"/>
          <w:szCs w:val="24"/>
        </w:rPr>
        <w:t xml:space="preserve"> od </w:t>
      </w:r>
      <w:r w:rsidR="00356DA9">
        <w:rPr>
          <w:sz w:val="24"/>
          <w:szCs w:val="24"/>
        </w:rPr>
        <w:t>zaměstnanců</w:t>
      </w:r>
      <w:r w:rsidRPr="009552EB">
        <w:rPr>
          <w:sz w:val="24"/>
          <w:szCs w:val="24"/>
        </w:rPr>
        <w:t xml:space="preserve"> za </w:t>
      </w:r>
      <w:r w:rsidR="00356DA9">
        <w:rPr>
          <w:sz w:val="24"/>
          <w:szCs w:val="24"/>
        </w:rPr>
        <w:t>pronájem vozového parku</w:t>
      </w:r>
    </w:p>
    <w:p w14:paraId="1D8D4C8D" w14:textId="23253D10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7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06 – Kultura, sport a cestovní ruch, běžné příjmy</w:t>
      </w:r>
    </w:p>
    <w:p w14:paraId="50BE751E" w14:textId="2277589A" w:rsidR="001971AB" w:rsidRDefault="004127EE" w:rsidP="00C8119F">
      <w:pPr>
        <w:jc w:val="center"/>
      </w:pPr>
      <w:r w:rsidRPr="004127EE">
        <w:rPr>
          <w:noProof/>
        </w:rPr>
        <w:drawing>
          <wp:inline distT="0" distB="0" distL="0" distR="0" wp14:anchorId="578EDCCB" wp14:editId="5A8355A1">
            <wp:extent cx="5977255" cy="645160"/>
            <wp:effectExtent l="0" t="0" r="4445" b="2540"/>
            <wp:docPr id="16425109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51090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FED12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E326C0">
        <w:rPr>
          <w:sz w:val="24"/>
          <w:szCs w:val="24"/>
        </w:rPr>
        <w:t>20</w:t>
      </w:r>
      <w:r w:rsidRPr="009552EB">
        <w:rPr>
          <w:sz w:val="24"/>
          <w:szCs w:val="24"/>
        </w:rPr>
        <w:t> 000 Kč.</w:t>
      </w:r>
    </w:p>
    <w:p w14:paraId="535697F7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3314</w:t>
      </w:r>
      <w:r w:rsidRPr="009552EB">
        <w:rPr>
          <w:sz w:val="24"/>
          <w:szCs w:val="24"/>
        </w:rPr>
        <w:t xml:space="preserve"> – příjmy z členských poplatků v místních knihovnách</w:t>
      </w:r>
    </w:p>
    <w:p w14:paraId="3C10C30F" w14:textId="2020CB03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8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09 - Vnitřní správa, běžné příjmy</w:t>
      </w:r>
    </w:p>
    <w:p w14:paraId="6A17F89A" w14:textId="31C1CF72" w:rsidR="001971AB" w:rsidRDefault="004127EE" w:rsidP="00607D2A">
      <w:pPr>
        <w:jc w:val="center"/>
      </w:pPr>
      <w:r w:rsidRPr="004127EE">
        <w:rPr>
          <w:noProof/>
        </w:rPr>
        <w:drawing>
          <wp:inline distT="0" distB="0" distL="0" distR="0" wp14:anchorId="734026BF" wp14:editId="12F85FCF">
            <wp:extent cx="5977255" cy="810895"/>
            <wp:effectExtent l="0" t="0" r="4445" b="8255"/>
            <wp:docPr id="15952786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7863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92A33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3414C2">
        <w:rPr>
          <w:sz w:val="24"/>
          <w:szCs w:val="24"/>
        </w:rPr>
        <w:t>100</w:t>
      </w:r>
      <w:r w:rsidR="00A7414E" w:rsidRPr="009552EB">
        <w:rPr>
          <w:sz w:val="24"/>
          <w:szCs w:val="24"/>
        </w:rPr>
        <w:t xml:space="preserve"> 000</w:t>
      </w:r>
      <w:r w:rsidRPr="009552EB">
        <w:rPr>
          <w:sz w:val="24"/>
          <w:szCs w:val="24"/>
        </w:rPr>
        <w:t xml:space="preserve"> Kč.</w:t>
      </w:r>
    </w:p>
    <w:p w14:paraId="58C4C2D6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6171</w:t>
      </w:r>
      <w:r w:rsidRPr="009552EB">
        <w:rPr>
          <w:sz w:val="24"/>
          <w:szCs w:val="24"/>
        </w:rPr>
        <w:t xml:space="preserve"> – příjmy z činnosti státní správy, nebo pr</w:t>
      </w:r>
      <w:r w:rsidR="00C8119F" w:rsidRPr="009552EB">
        <w:rPr>
          <w:sz w:val="24"/>
          <w:szCs w:val="24"/>
        </w:rPr>
        <w:t>odeje zboží či služeb občanům a sankční platby</w:t>
      </w:r>
    </w:p>
    <w:p w14:paraId="0F73838E" w14:textId="77777777" w:rsidR="00E326C0" w:rsidRDefault="00E326C0">
      <w:pPr>
        <w:spacing w:before="0" w:after="0" w:line="240" w:lineRule="auto"/>
        <w:rPr>
          <w:b/>
          <w:bCs/>
          <w:color w:val="4F81BD"/>
          <w:sz w:val="24"/>
          <w:szCs w:val="24"/>
        </w:rPr>
      </w:pPr>
      <w:r>
        <w:rPr>
          <w:sz w:val="24"/>
          <w:szCs w:val="24"/>
        </w:rPr>
        <w:br w:type="page"/>
      </w:r>
    </w:p>
    <w:p w14:paraId="5D8AA312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lastRenderedPageBreak/>
        <w:t xml:space="preserve">Tabulka </w:t>
      </w:r>
      <w:r w:rsidR="00157FDC">
        <w:rPr>
          <w:sz w:val="24"/>
          <w:szCs w:val="24"/>
        </w:rPr>
        <w:t>10</w:t>
      </w:r>
      <w:r w:rsidRPr="009552EB">
        <w:rPr>
          <w:sz w:val="24"/>
          <w:szCs w:val="24"/>
        </w:rPr>
        <w:t xml:space="preserve"> Kapitola 10 – Pokladní správa, běžné příjmy</w:t>
      </w:r>
    </w:p>
    <w:p w14:paraId="2A9EC421" w14:textId="409D97C2" w:rsidR="001971AB" w:rsidRPr="001971AB" w:rsidRDefault="008F392A" w:rsidP="00607D2A">
      <w:pPr>
        <w:jc w:val="center"/>
      </w:pPr>
      <w:r w:rsidRPr="008F392A">
        <w:rPr>
          <w:noProof/>
        </w:rPr>
        <w:drawing>
          <wp:inline distT="0" distB="0" distL="0" distR="0" wp14:anchorId="78D3D5A0" wp14:editId="352FBA40">
            <wp:extent cx="5977255" cy="1755775"/>
            <wp:effectExtent l="0" t="0" r="4445" b="0"/>
            <wp:docPr id="985089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8967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6F09E" w14:textId="40CB181C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9A6996" w:rsidRPr="009552EB">
        <w:rPr>
          <w:sz w:val="24"/>
          <w:szCs w:val="24"/>
        </w:rPr>
        <w:t xml:space="preserve">e rozpočtována v celkové výši </w:t>
      </w:r>
      <w:r w:rsidR="008F392A">
        <w:rPr>
          <w:sz w:val="24"/>
          <w:szCs w:val="24"/>
        </w:rPr>
        <w:t>161 382 000</w:t>
      </w:r>
      <w:r w:rsidRPr="009552EB">
        <w:rPr>
          <w:sz w:val="24"/>
          <w:szCs w:val="24"/>
        </w:rPr>
        <w:t xml:space="preserve"> Kč.</w:t>
      </w:r>
    </w:p>
    <w:p w14:paraId="0029BD02" w14:textId="26755E1A" w:rsidR="002279B5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Nejvyšší položku příjmu tvoří dotace od hlavního města Prahy na činnost samosprávy, která </w:t>
      </w:r>
      <w:r w:rsidR="00C8119F" w:rsidRPr="009552EB">
        <w:rPr>
          <w:sz w:val="24"/>
          <w:szCs w:val="24"/>
        </w:rPr>
        <w:t xml:space="preserve">je </w:t>
      </w:r>
      <w:r w:rsidR="00E326C0">
        <w:rPr>
          <w:sz w:val="24"/>
          <w:szCs w:val="24"/>
        </w:rPr>
        <w:t xml:space="preserve">vyšší téměř o </w:t>
      </w:r>
      <w:r w:rsidR="00F40A7A">
        <w:rPr>
          <w:sz w:val="24"/>
          <w:szCs w:val="24"/>
        </w:rPr>
        <w:t>40</w:t>
      </w:r>
      <w:r w:rsidR="003B4DBE">
        <w:rPr>
          <w:sz w:val="24"/>
          <w:szCs w:val="24"/>
        </w:rPr>
        <w:t xml:space="preserve"> mil. více než v loňském roce</w:t>
      </w:r>
      <w:r w:rsidR="00C8119F" w:rsidRPr="009552EB">
        <w:rPr>
          <w:sz w:val="24"/>
          <w:szCs w:val="24"/>
        </w:rPr>
        <w:t xml:space="preserve">. Tedy </w:t>
      </w:r>
      <w:r w:rsidR="002279B5">
        <w:rPr>
          <w:sz w:val="24"/>
          <w:szCs w:val="24"/>
        </w:rPr>
        <w:t xml:space="preserve">celkem </w:t>
      </w:r>
      <w:r w:rsidR="004118C9">
        <w:rPr>
          <w:sz w:val="24"/>
          <w:szCs w:val="24"/>
        </w:rPr>
        <w:t>128 945 700</w:t>
      </w:r>
      <w:r w:rsidR="00C8119F" w:rsidRPr="009552EB">
        <w:rPr>
          <w:sz w:val="24"/>
          <w:szCs w:val="24"/>
        </w:rPr>
        <w:t xml:space="preserve"> Kč</w:t>
      </w:r>
      <w:r w:rsidRPr="009552EB">
        <w:rPr>
          <w:sz w:val="24"/>
          <w:szCs w:val="24"/>
        </w:rPr>
        <w:t xml:space="preserve">. </w:t>
      </w:r>
      <w:r w:rsidR="00F40A7A">
        <w:rPr>
          <w:sz w:val="24"/>
          <w:szCs w:val="24"/>
        </w:rPr>
        <w:t xml:space="preserve">Nárůst mandatorních příjmů byl o cca 3 mil. vyšší než v roce 2025. </w:t>
      </w:r>
      <w:r w:rsidR="004A1E4C">
        <w:rPr>
          <w:sz w:val="24"/>
          <w:szCs w:val="24"/>
        </w:rPr>
        <w:t xml:space="preserve">Zbývající část ve výši 37 mil. slouží na financování nepedagogických zaměstnanců </w:t>
      </w:r>
      <w:r w:rsidR="002279B5">
        <w:rPr>
          <w:sz w:val="24"/>
          <w:szCs w:val="24"/>
        </w:rPr>
        <w:t xml:space="preserve">příspěvkových organizací, kde jsme zřizovatelem. </w:t>
      </w:r>
    </w:p>
    <w:p w14:paraId="7BD9B3F0" w14:textId="6140E325" w:rsidR="00417116" w:rsidRPr="009552EB" w:rsidRDefault="001971AB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Příjmy z d</w:t>
      </w:r>
      <w:r w:rsidR="00FE65DA" w:rsidRPr="009552EB">
        <w:rPr>
          <w:sz w:val="24"/>
          <w:szCs w:val="24"/>
        </w:rPr>
        <w:t>aně z</w:t>
      </w:r>
      <w:r w:rsidR="009A6996" w:rsidRPr="009552EB">
        <w:rPr>
          <w:sz w:val="24"/>
          <w:szCs w:val="24"/>
        </w:rPr>
        <w:t> </w:t>
      </w:r>
      <w:r w:rsidR="00FE65DA" w:rsidRPr="009552EB">
        <w:rPr>
          <w:sz w:val="24"/>
          <w:szCs w:val="24"/>
        </w:rPr>
        <w:t>nemovitosti</w:t>
      </w:r>
      <w:r w:rsidR="009A6996" w:rsidRPr="009552EB">
        <w:rPr>
          <w:sz w:val="24"/>
          <w:szCs w:val="24"/>
        </w:rPr>
        <w:t xml:space="preserve"> </w:t>
      </w:r>
      <w:r w:rsidR="00C8119F" w:rsidRPr="009552EB">
        <w:rPr>
          <w:sz w:val="24"/>
          <w:szCs w:val="24"/>
        </w:rPr>
        <w:t>tvoří</w:t>
      </w:r>
      <w:r w:rsidR="00DC111E">
        <w:rPr>
          <w:sz w:val="24"/>
          <w:szCs w:val="24"/>
        </w:rPr>
        <w:t xml:space="preserve"> letos 25</w:t>
      </w:r>
      <w:r w:rsidR="009A6996" w:rsidRPr="009552EB">
        <w:rPr>
          <w:sz w:val="24"/>
          <w:szCs w:val="24"/>
        </w:rPr>
        <w:t xml:space="preserve"> mil. Kč. D</w:t>
      </w:r>
      <w:r w:rsidR="00FE65DA" w:rsidRPr="009552EB">
        <w:rPr>
          <w:sz w:val="24"/>
          <w:szCs w:val="24"/>
        </w:rPr>
        <w:t>otace na činnost státní správy (například evidence obyvatel) či správní poplatky jsou rozpočtovány v osc</w:t>
      </w:r>
      <w:r w:rsidR="00FE6A2A" w:rsidRPr="009552EB">
        <w:rPr>
          <w:sz w:val="24"/>
          <w:szCs w:val="24"/>
        </w:rPr>
        <w:t>i</w:t>
      </w:r>
      <w:r w:rsidR="001B170C">
        <w:rPr>
          <w:sz w:val="24"/>
          <w:szCs w:val="24"/>
        </w:rPr>
        <w:t>lační výši skutečnosti roku 202</w:t>
      </w:r>
      <w:r w:rsidR="008F392A">
        <w:rPr>
          <w:sz w:val="24"/>
          <w:szCs w:val="24"/>
        </w:rPr>
        <w:t>5</w:t>
      </w:r>
      <w:r w:rsidR="00FE65DA" w:rsidRPr="009552EB">
        <w:rPr>
          <w:sz w:val="24"/>
          <w:szCs w:val="24"/>
        </w:rPr>
        <w:t>. Obdobné je to i u místních poplatků jako je poplatek ze psů</w:t>
      </w:r>
      <w:r w:rsidR="006360B5">
        <w:rPr>
          <w:sz w:val="24"/>
          <w:szCs w:val="24"/>
        </w:rPr>
        <w:t>.</w:t>
      </w:r>
      <w:r w:rsidR="00FE65DA" w:rsidRPr="009552EB">
        <w:rPr>
          <w:sz w:val="24"/>
          <w:szCs w:val="24"/>
        </w:rPr>
        <w:t xml:space="preserve"> </w:t>
      </w:r>
      <w:r w:rsidR="007C3485" w:rsidRPr="009552EB">
        <w:rPr>
          <w:sz w:val="24"/>
          <w:szCs w:val="24"/>
        </w:rPr>
        <w:t xml:space="preserve">Z důvodu </w:t>
      </w:r>
      <w:r w:rsidR="00E50754" w:rsidRPr="009552EB">
        <w:rPr>
          <w:sz w:val="24"/>
          <w:szCs w:val="24"/>
        </w:rPr>
        <w:t>opatrnosti</w:t>
      </w:r>
      <w:r w:rsidR="007C3485" w:rsidRPr="009552EB">
        <w:rPr>
          <w:sz w:val="24"/>
          <w:szCs w:val="24"/>
        </w:rPr>
        <w:t xml:space="preserve"> navrhujeme rozpočtovat </w:t>
      </w:r>
      <w:r w:rsidR="00B81BD2" w:rsidRPr="009552EB">
        <w:rPr>
          <w:sz w:val="24"/>
          <w:szCs w:val="24"/>
        </w:rPr>
        <w:t>většinu těchto poplatků</w:t>
      </w:r>
      <w:r w:rsidR="007C3485" w:rsidRPr="009552EB">
        <w:rPr>
          <w:sz w:val="24"/>
          <w:szCs w:val="24"/>
        </w:rPr>
        <w:t xml:space="preserve"> </w:t>
      </w:r>
      <w:r w:rsidR="00E50754" w:rsidRPr="009552EB">
        <w:rPr>
          <w:sz w:val="24"/>
          <w:szCs w:val="24"/>
        </w:rPr>
        <w:t xml:space="preserve">na </w:t>
      </w:r>
      <w:r w:rsidR="00417116" w:rsidRPr="009552EB">
        <w:rPr>
          <w:sz w:val="24"/>
          <w:szCs w:val="24"/>
        </w:rPr>
        <w:t>nepatrně</w:t>
      </w:r>
      <w:r w:rsidR="003B4DBE">
        <w:rPr>
          <w:sz w:val="24"/>
          <w:szCs w:val="24"/>
        </w:rPr>
        <w:t xml:space="preserve"> nižší úrovni nežli v roce 2</w:t>
      </w:r>
      <w:r w:rsidR="001B170C">
        <w:rPr>
          <w:sz w:val="24"/>
          <w:szCs w:val="24"/>
        </w:rPr>
        <w:t>02</w:t>
      </w:r>
      <w:r w:rsidR="002E6480">
        <w:rPr>
          <w:sz w:val="24"/>
          <w:szCs w:val="24"/>
        </w:rPr>
        <w:t>5</w:t>
      </w:r>
      <w:r w:rsidR="00FE65DA" w:rsidRPr="009552EB">
        <w:rPr>
          <w:sz w:val="24"/>
          <w:szCs w:val="24"/>
        </w:rPr>
        <w:t>.</w:t>
      </w:r>
      <w:r w:rsidR="009A6996" w:rsidRPr="009552EB">
        <w:rPr>
          <w:sz w:val="24"/>
          <w:szCs w:val="24"/>
        </w:rPr>
        <w:t xml:space="preserve"> </w:t>
      </w:r>
    </w:p>
    <w:p w14:paraId="69D8F685" w14:textId="77777777" w:rsidR="00FE6A2A" w:rsidRDefault="00FE6A2A" w:rsidP="006A784A">
      <w:pPr>
        <w:jc w:val="both"/>
      </w:pPr>
    </w:p>
    <w:p w14:paraId="437641BB" w14:textId="77777777" w:rsidR="00FE65DA" w:rsidRDefault="00FE65DA" w:rsidP="006A784A">
      <w:pPr>
        <w:pStyle w:val="Nadpis3"/>
        <w:jc w:val="both"/>
      </w:pPr>
      <w:bookmarkStart w:id="44" w:name="_Toc317112460"/>
      <w:bookmarkStart w:id="45" w:name="_Toc317113228"/>
      <w:bookmarkStart w:id="46" w:name="_Toc317117258"/>
      <w:bookmarkStart w:id="47" w:name="_Toc220164739"/>
      <w:bookmarkEnd w:id="44"/>
      <w:bookmarkEnd w:id="45"/>
      <w:bookmarkEnd w:id="46"/>
      <w:r>
        <w:t>Kapitálové příjmy</w:t>
      </w:r>
      <w:bookmarkEnd w:id="47"/>
    </w:p>
    <w:p w14:paraId="2AC46E9D" w14:textId="1CD3BFD2" w:rsidR="00B81BD2" w:rsidRDefault="00FE65DA" w:rsidP="006A784A">
      <w:pPr>
        <w:jc w:val="both"/>
        <w:rPr>
          <w:szCs w:val="24"/>
        </w:rPr>
      </w:pPr>
      <w:r w:rsidRPr="009552EB">
        <w:rPr>
          <w:sz w:val="24"/>
          <w:szCs w:val="24"/>
        </w:rPr>
        <w:t>Z celkové částky r</w:t>
      </w:r>
      <w:r w:rsidR="001B170C">
        <w:rPr>
          <w:sz w:val="24"/>
          <w:szCs w:val="24"/>
        </w:rPr>
        <w:t>ozpočtovaných příjmů na rok 202</w:t>
      </w:r>
      <w:r w:rsidR="004E1431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tvoří k</w:t>
      </w:r>
      <w:r w:rsidR="0044610D" w:rsidRPr="009552EB">
        <w:rPr>
          <w:sz w:val="24"/>
          <w:szCs w:val="24"/>
        </w:rPr>
        <w:t xml:space="preserve">apitálové příjmy částku </w:t>
      </w:r>
      <w:r w:rsidR="002E06D8">
        <w:rPr>
          <w:b/>
          <w:sz w:val="24"/>
          <w:szCs w:val="24"/>
        </w:rPr>
        <w:t>26 155 000</w:t>
      </w:r>
      <w:r w:rsidRPr="009552EB">
        <w:rPr>
          <w:b/>
          <w:sz w:val="24"/>
          <w:szCs w:val="24"/>
        </w:rPr>
        <w:t> Kč</w:t>
      </w:r>
      <w:r w:rsidRPr="009552EB">
        <w:rPr>
          <w:sz w:val="24"/>
          <w:szCs w:val="24"/>
        </w:rPr>
        <w:t xml:space="preserve"> a jsou rozpočtovány v následujících kapitolách.</w:t>
      </w:r>
    </w:p>
    <w:p w14:paraId="4CD4420B" w14:textId="055AC6C6" w:rsidR="00FE65DA" w:rsidRPr="006360B5" w:rsidRDefault="00FE65DA" w:rsidP="006A784A">
      <w:pPr>
        <w:pStyle w:val="Titulek"/>
        <w:jc w:val="both"/>
        <w:rPr>
          <w:sz w:val="24"/>
          <w:szCs w:val="24"/>
        </w:rPr>
      </w:pPr>
      <w:r w:rsidRPr="006360B5">
        <w:rPr>
          <w:sz w:val="24"/>
          <w:szCs w:val="24"/>
        </w:rPr>
        <w:t xml:space="preserve">Tabulka </w:t>
      </w:r>
      <w:r w:rsidR="00B2065D" w:rsidRPr="006360B5">
        <w:rPr>
          <w:sz w:val="24"/>
          <w:szCs w:val="24"/>
        </w:rPr>
        <w:fldChar w:fldCharType="begin"/>
      </w:r>
      <w:r w:rsidRPr="006360B5">
        <w:rPr>
          <w:sz w:val="24"/>
          <w:szCs w:val="24"/>
        </w:rPr>
        <w:instrText xml:space="preserve"> SEQ Tabulka \* ARABIC </w:instrText>
      </w:r>
      <w:r w:rsidR="00B2065D" w:rsidRPr="006360B5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9</w:t>
      </w:r>
      <w:r w:rsidR="00B2065D" w:rsidRPr="006360B5">
        <w:rPr>
          <w:sz w:val="24"/>
          <w:szCs w:val="24"/>
        </w:rPr>
        <w:fldChar w:fldCharType="end"/>
      </w:r>
      <w:r w:rsidRPr="006360B5">
        <w:rPr>
          <w:sz w:val="24"/>
          <w:szCs w:val="24"/>
        </w:rPr>
        <w:t xml:space="preserve"> Kapitola 09 – Vnitřní správa, kapitálové příjmy</w:t>
      </w:r>
    </w:p>
    <w:p w14:paraId="05F68501" w14:textId="17AF8A63" w:rsidR="00B81BD2" w:rsidRDefault="002E06D8" w:rsidP="006A784A">
      <w:pPr>
        <w:jc w:val="both"/>
      </w:pPr>
      <w:r w:rsidRPr="002E06D8">
        <w:rPr>
          <w:noProof/>
        </w:rPr>
        <w:drawing>
          <wp:inline distT="0" distB="0" distL="0" distR="0" wp14:anchorId="445CB781" wp14:editId="7F84FBD8">
            <wp:extent cx="5977255" cy="653415"/>
            <wp:effectExtent l="0" t="0" r="4445" b="0"/>
            <wp:docPr id="2576946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9461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92525" w14:textId="542B4800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44610D" w:rsidRPr="009552EB">
        <w:rPr>
          <w:sz w:val="24"/>
          <w:szCs w:val="24"/>
        </w:rPr>
        <w:t xml:space="preserve">e rozpočtována v celkové výši </w:t>
      </w:r>
      <w:r w:rsidR="002E06D8">
        <w:rPr>
          <w:sz w:val="24"/>
          <w:szCs w:val="24"/>
        </w:rPr>
        <w:t>26 155</w:t>
      </w:r>
      <w:r w:rsidR="003B4DBE">
        <w:rPr>
          <w:sz w:val="24"/>
          <w:szCs w:val="24"/>
        </w:rPr>
        <w:t xml:space="preserve"> 000</w:t>
      </w:r>
      <w:r w:rsidR="00FE6A2A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Kč.</w:t>
      </w:r>
    </w:p>
    <w:p w14:paraId="3FF2D59B" w14:textId="4FC5095B" w:rsidR="00FE65DA" w:rsidRPr="009552EB" w:rsidRDefault="00417116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Jedná se o posílení financování rozpočtu HČ</w:t>
      </w:r>
      <w:r w:rsidR="00380DB3" w:rsidRPr="009552EB">
        <w:rPr>
          <w:sz w:val="24"/>
          <w:szCs w:val="24"/>
        </w:rPr>
        <w:t xml:space="preserve"> z VHČ ve výši </w:t>
      </w:r>
      <w:r w:rsidR="00722C5A">
        <w:rPr>
          <w:sz w:val="24"/>
          <w:szCs w:val="24"/>
        </w:rPr>
        <w:t>2</w:t>
      </w:r>
      <w:r w:rsidR="002E06D8">
        <w:rPr>
          <w:sz w:val="24"/>
          <w:szCs w:val="24"/>
        </w:rPr>
        <w:t>6</w:t>
      </w:r>
      <w:r w:rsidR="00722C5A">
        <w:rPr>
          <w:sz w:val="24"/>
          <w:szCs w:val="24"/>
        </w:rPr>
        <w:t xml:space="preserve"> </w:t>
      </w:r>
      <w:r w:rsidR="002E06D8">
        <w:rPr>
          <w:sz w:val="24"/>
          <w:szCs w:val="24"/>
        </w:rPr>
        <w:t>155</w:t>
      </w:r>
      <w:r w:rsidR="003B4DBE">
        <w:rPr>
          <w:sz w:val="24"/>
          <w:szCs w:val="24"/>
        </w:rPr>
        <w:t xml:space="preserve"> 000</w:t>
      </w:r>
      <w:r w:rsidR="00A9735B" w:rsidRPr="009552EB">
        <w:rPr>
          <w:sz w:val="24"/>
          <w:szCs w:val="24"/>
        </w:rPr>
        <w:t xml:space="preserve"> Kč.</w:t>
      </w:r>
    </w:p>
    <w:p w14:paraId="61F97AFE" w14:textId="77777777" w:rsidR="00FE6A2A" w:rsidRPr="00001CE4" w:rsidRDefault="00C4319E" w:rsidP="006A784A">
      <w:pPr>
        <w:jc w:val="both"/>
      </w:pPr>
      <w:r>
        <w:br w:type="page"/>
      </w:r>
    </w:p>
    <w:p w14:paraId="3AF03A64" w14:textId="77777777" w:rsidR="00FE65DA" w:rsidRDefault="00FE65DA" w:rsidP="006A784A">
      <w:pPr>
        <w:pStyle w:val="Nadpis2"/>
        <w:jc w:val="both"/>
      </w:pPr>
      <w:bookmarkStart w:id="48" w:name="_Toc317112462"/>
      <w:bookmarkStart w:id="49" w:name="_Toc317113230"/>
      <w:bookmarkStart w:id="50" w:name="_Toc317117260"/>
      <w:bookmarkStart w:id="51" w:name="_Toc317112463"/>
      <w:bookmarkStart w:id="52" w:name="_Toc317113231"/>
      <w:bookmarkStart w:id="53" w:name="_Toc317117261"/>
      <w:bookmarkStart w:id="54" w:name="_Toc220164740"/>
      <w:bookmarkEnd w:id="48"/>
      <w:bookmarkEnd w:id="49"/>
      <w:bookmarkEnd w:id="50"/>
      <w:bookmarkEnd w:id="51"/>
      <w:bookmarkEnd w:id="52"/>
      <w:bookmarkEnd w:id="53"/>
      <w:r>
        <w:lastRenderedPageBreak/>
        <w:t>Výdaje</w:t>
      </w:r>
      <w:bookmarkEnd w:id="54"/>
    </w:p>
    <w:p w14:paraId="2CFCD92F" w14:textId="280F96B8" w:rsidR="00FE65DA" w:rsidRPr="009552EB" w:rsidRDefault="001B170C" w:rsidP="006A784A">
      <w:pPr>
        <w:jc w:val="both"/>
        <w:rPr>
          <w:sz w:val="24"/>
          <w:szCs w:val="24"/>
        </w:rPr>
      </w:pPr>
      <w:r>
        <w:rPr>
          <w:sz w:val="24"/>
          <w:szCs w:val="24"/>
        </w:rPr>
        <w:t>Do návrhu rozpočtu na rok 202</w:t>
      </w:r>
      <w:r w:rsidR="004E1431">
        <w:rPr>
          <w:sz w:val="24"/>
          <w:szCs w:val="24"/>
        </w:rPr>
        <w:t>6</w:t>
      </w:r>
      <w:r w:rsidR="00FE65DA" w:rsidRPr="009552EB">
        <w:rPr>
          <w:sz w:val="24"/>
          <w:szCs w:val="24"/>
        </w:rPr>
        <w:t xml:space="preserve"> byly zapracovány běžné a kapitálové výdaje v úhrnné výši </w:t>
      </w:r>
      <w:r w:rsidR="00D76B22">
        <w:rPr>
          <w:b/>
          <w:sz w:val="24"/>
          <w:szCs w:val="24"/>
        </w:rPr>
        <w:t>482 451 900</w:t>
      </w:r>
      <w:r w:rsidR="00B81BD2" w:rsidRPr="009552EB">
        <w:rPr>
          <w:b/>
          <w:sz w:val="24"/>
          <w:szCs w:val="24"/>
        </w:rPr>
        <w:t xml:space="preserve"> </w:t>
      </w:r>
      <w:r w:rsidR="00FE65DA" w:rsidRPr="009552EB">
        <w:rPr>
          <w:b/>
          <w:sz w:val="24"/>
          <w:szCs w:val="24"/>
        </w:rPr>
        <w:t>Kč.</w:t>
      </w:r>
    </w:p>
    <w:p w14:paraId="7B24A528" w14:textId="77777777" w:rsidR="00FE65DA" w:rsidRDefault="00FE65DA" w:rsidP="006A784A">
      <w:pPr>
        <w:pStyle w:val="Nadpis3"/>
        <w:jc w:val="both"/>
      </w:pPr>
      <w:bookmarkStart w:id="55" w:name="_Toc220164741"/>
      <w:r>
        <w:t>Běžné výdaje</w:t>
      </w:r>
      <w:bookmarkEnd w:id="55"/>
    </w:p>
    <w:p w14:paraId="47E0DB81" w14:textId="448A678F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Rozpočet běžných výdajů je ve výši </w:t>
      </w:r>
      <w:r w:rsidR="00770F02">
        <w:rPr>
          <w:b/>
          <w:sz w:val="24"/>
          <w:szCs w:val="24"/>
        </w:rPr>
        <w:t>195 016</w:t>
      </w:r>
      <w:r w:rsidR="00FE0F8A">
        <w:rPr>
          <w:b/>
          <w:sz w:val="24"/>
          <w:szCs w:val="24"/>
        </w:rPr>
        <w:t xml:space="preserve"> 400</w:t>
      </w:r>
      <w:r w:rsidRPr="009552EB">
        <w:rPr>
          <w:sz w:val="24"/>
          <w:szCs w:val="24"/>
        </w:rPr>
        <w:t xml:space="preserve"> Kč. Při zpracování návrhu rozpočtu běžných výdajů se vycházelo </w:t>
      </w:r>
      <w:r w:rsidR="00FE6A2A" w:rsidRPr="009552EB">
        <w:rPr>
          <w:sz w:val="24"/>
          <w:szCs w:val="24"/>
        </w:rPr>
        <w:t>z</w:t>
      </w:r>
      <w:r w:rsidR="001D33A2">
        <w:rPr>
          <w:sz w:val="24"/>
          <w:szCs w:val="24"/>
        </w:rPr>
        <w:t xml:space="preserve">e schváleného </w:t>
      </w:r>
      <w:r w:rsidR="001B170C">
        <w:rPr>
          <w:sz w:val="24"/>
          <w:szCs w:val="24"/>
        </w:rPr>
        <w:t>rozpočtu roku 202</w:t>
      </w:r>
      <w:r w:rsidR="004E1431">
        <w:rPr>
          <w:sz w:val="24"/>
          <w:szCs w:val="24"/>
        </w:rPr>
        <w:t>5</w:t>
      </w:r>
      <w:r w:rsidRPr="009552EB">
        <w:rPr>
          <w:sz w:val="24"/>
          <w:szCs w:val="24"/>
        </w:rPr>
        <w:t xml:space="preserve"> se zohledněním </w:t>
      </w:r>
      <w:r w:rsidR="00FE6A2A" w:rsidRPr="009552EB">
        <w:rPr>
          <w:sz w:val="24"/>
          <w:szCs w:val="24"/>
        </w:rPr>
        <w:t>očekávan</w:t>
      </w:r>
      <w:r w:rsidR="006360B5">
        <w:rPr>
          <w:sz w:val="24"/>
          <w:szCs w:val="24"/>
        </w:rPr>
        <w:t>ých</w:t>
      </w:r>
      <w:r w:rsidR="00FE6A2A" w:rsidRPr="009552EB">
        <w:rPr>
          <w:sz w:val="24"/>
          <w:szCs w:val="24"/>
        </w:rPr>
        <w:t xml:space="preserve"> skutečnost</w:t>
      </w:r>
      <w:r w:rsidR="006360B5">
        <w:rPr>
          <w:sz w:val="24"/>
          <w:szCs w:val="24"/>
        </w:rPr>
        <w:t>í</w:t>
      </w:r>
      <w:r w:rsidR="001B170C">
        <w:rPr>
          <w:sz w:val="24"/>
          <w:szCs w:val="24"/>
        </w:rPr>
        <w:t xml:space="preserve"> roku 202</w:t>
      </w:r>
      <w:r w:rsidR="004E1431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. </w:t>
      </w:r>
    </w:p>
    <w:p w14:paraId="1851B3F7" w14:textId="7733CC61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10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02</w:t>
      </w:r>
      <w:r w:rsidR="006360B5">
        <w:rPr>
          <w:sz w:val="24"/>
          <w:szCs w:val="24"/>
        </w:rPr>
        <w:t xml:space="preserve"> a 03</w:t>
      </w:r>
      <w:r w:rsidRPr="009552EB">
        <w:rPr>
          <w:sz w:val="24"/>
          <w:szCs w:val="24"/>
        </w:rPr>
        <w:t xml:space="preserve"> – Městská infrastruktura, běžné výdaje</w:t>
      </w:r>
    </w:p>
    <w:p w14:paraId="1171C4E1" w14:textId="7466F8FC" w:rsidR="00FE65DA" w:rsidRPr="00A97AB1" w:rsidRDefault="005F7017" w:rsidP="00036177">
      <w:pPr>
        <w:jc w:val="center"/>
      </w:pPr>
      <w:r w:rsidRPr="005F7017">
        <w:rPr>
          <w:noProof/>
        </w:rPr>
        <w:drawing>
          <wp:inline distT="0" distB="0" distL="0" distR="0" wp14:anchorId="2D6ADF59" wp14:editId="78072049">
            <wp:extent cx="5752381" cy="2333333"/>
            <wp:effectExtent l="0" t="0" r="1270" b="0"/>
            <wp:docPr id="11774131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1319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2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A9D6A" w14:textId="2701CDCF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je rozpočt</w:t>
      </w:r>
      <w:r w:rsidR="00E9089B" w:rsidRPr="009552EB">
        <w:rPr>
          <w:sz w:val="24"/>
          <w:szCs w:val="24"/>
        </w:rPr>
        <w:t xml:space="preserve">ována v celkové výši </w:t>
      </w:r>
      <w:r w:rsidR="007F7F20">
        <w:rPr>
          <w:sz w:val="24"/>
          <w:szCs w:val="24"/>
        </w:rPr>
        <w:t>45 183 500</w:t>
      </w:r>
      <w:r w:rsidRPr="009552EB">
        <w:rPr>
          <w:sz w:val="24"/>
          <w:szCs w:val="24"/>
        </w:rPr>
        <w:t xml:space="preserve"> </w:t>
      </w:r>
      <w:r w:rsidR="00CB6577">
        <w:rPr>
          <w:sz w:val="24"/>
          <w:szCs w:val="24"/>
        </w:rPr>
        <w:t>Kč.</w:t>
      </w:r>
    </w:p>
    <w:p w14:paraId="4A95D5C1" w14:textId="6393980C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 xml:space="preserve">Oddíl § 3745, 3722, </w:t>
      </w:r>
      <w:r w:rsidR="00036177" w:rsidRPr="009552EB">
        <w:rPr>
          <w:b/>
          <w:sz w:val="24"/>
          <w:szCs w:val="24"/>
        </w:rPr>
        <w:t xml:space="preserve">3421, </w:t>
      </w:r>
      <w:r w:rsidRPr="009552EB">
        <w:rPr>
          <w:b/>
          <w:sz w:val="24"/>
          <w:szCs w:val="24"/>
        </w:rPr>
        <w:t>2310</w:t>
      </w:r>
      <w:r w:rsidRPr="009552EB">
        <w:rPr>
          <w:sz w:val="24"/>
          <w:szCs w:val="24"/>
        </w:rPr>
        <w:t xml:space="preserve"> - výdaje na tento oddíl péče o vzhled obcí a veřejnou zeleň představují výdaje na činnost technické správy MČ </w:t>
      </w:r>
      <w:r w:rsidR="00CB6577">
        <w:rPr>
          <w:sz w:val="24"/>
          <w:szCs w:val="24"/>
        </w:rPr>
        <w:t>Praha-</w:t>
      </w:r>
      <w:r w:rsidRPr="009552EB">
        <w:rPr>
          <w:sz w:val="24"/>
          <w:szCs w:val="24"/>
        </w:rPr>
        <w:t>Čakovice. Velkou část z toho tvoří mzdy na pracovníky TS</w:t>
      </w:r>
      <w:r w:rsidR="00036177" w:rsidRPr="009552EB">
        <w:rPr>
          <w:sz w:val="24"/>
          <w:szCs w:val="24"/>
        </w:rPr>
        <w:t>. D</w:t>
      </w:r>
      <w:r w:rsidRPr="009552EB">
        <w:rPr>
          <w:sz w:val="24"/>
          <w:szCs w:val="24"/>
        </w:rPr>
        <w:t xml:space="preserve">ále </w:t>
      </w:r>
      <w:r w:rsidR="00036177" w:rsidRPr="009552EB">
        <w:rPr>
          <w:sz w:val="24"/>
          <w:szCs w:val="24"/>
        </w:rPr>
        <w:t>se jedná o</w:t>
      </w:r>
      <w:r w:rsidRPr="009552EB">
        <w:rPr>
          <w:sz w:val="24"/>
          <w:szCs w:val="24"/>
        </w:rPr>
        <w:t xml:space="preserve"> leasingové splátky,</w:t>
      </w:r>
      <w:r w:rsidR="00215705" w:rsidRPr="009552EB">
        <w:rPr>
          <w:color w:val="FF0000"/>
          <w:sz w:val="24"/>
          <w:szCs w:val="24"/>
        </w:rPr>
        <w:t xml:space="preserve"> </w:t>
      </w:r>
      <w:r w:rsidR="00215705" w:rsidRPr="009552EB">
        <w:rPr>
          <w:sz w:val="24"/>
          <w:szCs w:val="24"/>
        </w:rPr>
        <w:t>údržb</w:t>
      </w:r>
      <w:r w:rsidR="00CB6577">
        <w:rPr>
          <w:sz w:val="24"/>
          <w:szCs w:val="24"/>
        </w:rPr>
        <w:t>u</w:t>
      </w:r>
      <w:r w:rsidR="00215705" w:rsidRPr="009552EB">
        <w:rPr>
          <w:sz w:val="24"/>
          <w:szCs w:val="24"/>
        </w:rPr>
        <w:t xml:space="preserve"> parků a ostatních zelených ploch,</w:t>
      </w:r>
      <w:r w:rsidRPr="009552EB">
        <w:rPr>
          <w:sz w:val="24"/>
          <w:szCs w:val="24"/>
        </w:rPr>
        <w:t xml:space="preserve"> opravy či pojištění na vozy zajišťující úklid komunikací nebo údržbu v zimních měsících. S technickou správ</w:t>
      </w:r>
      <w:r w:rsidR="00986D9D" w:rsidRPr="009552EB">
        <w:rPr>
          <w:sz w:val="24"/>
          <w:szCs w:val="24"/>
        </w:rPr>
        <w:t>ou</w:t>
      </w:r>
      <w:r w:rsidRPr="009552EB">
        <w:rPr>
          <w:sz w:val="24"/>
          <w:szCs w:val="24"/>
        </w:rPr>
        <w:t xml:space="preserve"> souvisí i položka na sběr a svoz komunálního odpadu. </w:t>
      </w:r>
      <w:r w:rsidR="00036177" w:rsidRPr="009552EB">
        <w:rPr>
          <w:sz w:val="24"/>
          <w:szCs w:val="24"/>
        </w:rPr>
        <w:t xml:space="preserve">V rámci ODPA 3421 je alokováno </w:t>
      </w:r>
      <w:r w:rsidR="00420A4C">
        <w:rPr>
          <w:sz w:val="24"/>
          <w:szCs w:val="24"/>
        </w:rPr>
        <w:t>1,</w:t>
      </w:r>
      <w:r w:rsidR="007F7F20">
        <w:rPr>
          <w:sz w:val="24"/>
          <w:szCs w:val="24"/>
        </w:rPr>
        <w:t>8</w:t>
      </w:r>
      <w:r w:rsidR="00420A4C">
        <w:rPr>
          <w:sz w:val="24"/>
          <w:szCs w:val="24"/>
        </w:rPr>
        <w:t xml:space="preserve"> mil</w:t>
      </w:r>
      <w:r w:rsidR="004905E5">
        <w:rPr>
          <w:sz w:val="24"/>
          <w:szCs w:val="24"/>
        </w:rPr>
        <w:t>.</w:t>
      </w:r>
      <w:r w:rsidR="00036177" w:rsidRPr="009552EB">
        <w:rPr>
          <w:sz w:val="24"/>
          <w:szCs w:val="24"/>
        </w:rPr>
        <w:t xml:space="preserve"> na rekonstrukci </w:t>
      </w:r>
      <w:r w:rsidR="004905E5">
        <w:rPr>
          <w:sz w:val="24"/>
          <w:szCs w:val="24"/>
        </w:rPr>
        <w:t>dětských</w:t>
      </w:r>
      <w:r w:rsidR="00036177" w:rsidRPr="009552EB">
        <w:rPr>
          <w:sz w:val="24"/>
          <w:szCs w:val="24"/>
        </w:rPr>
        <w:t xml:space="preserve"> hřišť</w:t>
      </w:r>
      <w:r w:rsidR="001E3580">
        <w:rPr>
          <w:sz w:val="24"/>
          <w:szCs w:val="24"/>
        </w:rPr>
        <w:t xml:space="preserve"> a studie na vybudování nových</w:t>
      </w:r>
      <w:r w:rsidR="00036177" w:rsidRPr="009552EB">
        <w:rPr>
          <w:sz w:val="24"/>
          <w:szCs w:val="24"/>
        </w:rPr>
        <w:t xml:space="preserve">. </w:t>
      </w:r>
      <w:r w:rsidRPr="009552EB">
        <w:rPr>
          <w:sz w:val="24"/>
          <w:szCs w:val="24"/>
        </w:rPr>
        <w:t>Výdaje na pitnou vodu se rozumí náklady související s údržbou p</w:t>
      </w:r>
      <w:r w:rsidR="00036177" w:rsidRPr="009552EB">
        <w:rPr>
          <w:sz w:val="24"/>
          <w:szCs w:val="24"/>
        </w:rPr>
        <w:t>rovozuschopnosti místních studní</w:t>
      </w:r>
      <w:r w:rsidRPr="009552EB">
        <w:rPr>
          <w:sz w:val="24"/>
          <w:szCs w:val="24"/>
        </w:rPr>
        <w:t>.</w:t>
      </w:r>
    </w:p>
    <w:p w14:paraId="71363CAE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2241</w:t>
      </w:r>
      <w:r w:rsidRPr="009552EB">
        <w:rPr>
          <w:sz w:val="24"/>
          <w:szCs w:val="24"/>
        </w:rPr>
        <w:t xml:space="preserve"> – výdaji v tomto oddíle se rozumí náklady na údržbu zakoupené vlečky a zejména zabezpečení její provozuschopnosti</w:t>
      </w:r>
      <w:r w:rsidR="00CB6577">
        <w:rPr>
          <w:sz w:val="24"/>
          <w:szCs w:val="24"/>
        </w:rPr>
        <w:t>.</w:t>
      </w:r>
    </w:p>
    <w:p w14:paraId="48C2CACF" w14:textId="4A9E213E" w:rsidR="001D33A2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2219</w:t>
      </w:r>
      <w:r w:rsidRPr="009552EB">
        <w:rPr>
          <w:sz w:val="24"/>
          <w:szCs w:val="24"/>
        </w:rPr>
        <w:t xml:space="preserve"> – ostatní záležitosti dopravních komunikací jsou výdaje související s dopravou, především její zabezpečení. Představují to zejména výdaje na</w:t>
      </w:r>
      <w:r w:rsidR="00654A7A">
        <w:rPr>
          <w:sz w:val="24"/>
          <w:szCs w:val="24"/>
        </w:rPr>
        <w:t xml:space="preserve"> opravu</w:t>
      </w:r>
      <w:r w:rsidR="00BC4F72" w:rsidRPr="009552EB">
        <w:rPr>
          <w:sz w:val="24"/>
          <w:szCs w:val="24"/>
        </w:rPr>
        <w:t xml:space="preserve"> c</w:t>
      </w:r>
      <w:r w:rsidR="00654A7A">
        <w:rPr>
          <w:sz w:val="24"/>
          <w:szCs w:val="24"/>
        </w:rPr>
        <w:t xml:space="preserve">yklostezek, chodníků, </w:t>
      </w:r>
      <w:r w:rsidR="00654A7A">
        <w:rPr>
          <w:sz w:val="24"/>
          <w:szCs w:val="24"/>
        </w:rPr>
        <w:lastRenderedPageBreak/>
        <w:t xml:space="preserve">parkovišť </w:t>
      </w:r>
      <w:r w:rsidR="00BC4F72" w:rsidRPr="009552EB">
        <w:rPr>
          <w:sz w:val="24"/>
          <w:szCs w:val="24"/>
        </w:rPr>
        <w:t>atd.</w:t>
      </w:r>
      <w:r w:rsidR="001E3580">
        <w:rPr>
          <w:sz w:val="24"/>
          <w:szCs w:val="24"/>
        </w:rPr>
        <w:t xml:space="preserve"> </w:t>
      </w:r>
      <w:r w:rsidR="00C12542">
        <w:rPr>
          <w:sz w:val="24"/>
          <w:szCs w:val="24"/>
        </w:rPr>
        <w:t xml:space="preserve">V letošním roce jsou zde alokovány prostředky ve výši 3 mil. Kč na zahájení revitalizace </w:t>
      </w:r>
      <w:proofErr w:type="spellStart"/>
      <w:r w:rsidR="00C12542">
        <w:rPr>
          <w:sz w:val="24"/>
          <w:szCs w:val="24"/>
        </w:rPr>
        <w:t>mlatových</w:t>
      </w:r>
      <w:proofErr w:type="spellEnd"/>
      <w:r w:rsidR="00C12542">
        <w:rPr>
          <w:sz w:val="24"/>
          <w:szCs w:val="24"/>
        </w:rPr>
        <w:t xml:space="preserve"> cest v</w:t>
      </w:r>
      <w:r w:rsidR="00084477">
        <w:rPr>
          <w:sz w:val="24"/>
          <w:szCs w:val="24"/>
        </w:rPr>
        <w:t> zámeckém parku.</w:t>
      </w:r>
    </w:p>
    <w:p w14:paraId="73EB3ABE" w14:textId="77777777" w:rsidR="00597BE0" w:rsidRPr="009552EB" w:rsidRDefault="00597BE0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2212</w:t>
      </w:r>
      <w:r w:rsidRPr="009552EB">
        <w:rPr>
          <w:sz w:val="24"/>
          <w:szCs w:val="24"/>
        </w:rPr>
        <w:t xml:space="preserve"> – silnice představují výdaje související s komunikacemi, které jsou v naší správě či nám náleží. Obsahuje náklady na pořízení posypového materiálu a také f</w:t>
      </w:r>
      <w:r w:rsidR="00822A9F">
        <w:rPr>
          <w:sz w:val="24"/>
          <w:szCs w:val="24"/>
        </w:rPr>
        <w:t>inance na běžnou opravu silnic</w:t>
      </w:r>
      <w:r w:rsidRPr="009552EB">
        <w:rPr>
          <w:sz w:val="24"/>
          <w:szCs w:val="24"/>
        </w:rPr>
        <w:t xml:space="preserve"> (např. výtluky). </w:t>
      </w:r>
    </w:p>
    <w:p w14:paraId="2239792C" w14:textId="59C53DBF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11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04 – Školství,</w:t>
      </w:r>
      <w:r w:rsidR="00822A9F">
        <w:rPr>
          <w:sz w:val="24"/>
          <w:szCs w:val="24"/>
        </w:rPr>
        <w:t xml:space="preserve"> sport,</w:t>
      </w:r>
      <w:r w:rsidRPr="009552EB">
        <w:rPr>
          <w:sz w:val="24"/>
          <w:szCs w:val="24"/>
        </w:rPr>
        <w:t xml:space="preserve"> běžné výdaje</w:t>
      </w:r>
    </w:p>
    <w:p w14:paraId="11EA4110" w14:textId="24CF9353" w:rsidR="00FE65DA" w:rsidRPr="00A97AB1" w:rsidRDefault="00084477" w:rsidP="00036177">
      <w:pPr>
        <w:jc w:val="center"/>
      </w:pPr>
      <w:r w:rsidRPr="00084477">
        <w:rPr>
          <w:noProof/>
        </w:rPr>
        <w:drawing>
          <wp:inline distT="0" distB="0" distL="0" distR="0" wp14:anchorId="4A53B077" wp14:editId="07A5B2DB">
            <wp:extent cx="5752381" cy="3180952"/>
            <wp:effectExtent l="0" t="0" r="1270" b="635"/>
            <wp:docPr id="13174886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8869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3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EBF81" w14:textId="1908D4D8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084477">
        <w:rPr>
          <w:sz w:val="24"/>
          <w:szCs w:val="24"/>
        </w:rPr>
        <w:t>74</w:t>
      </w:r>
      <w:r w:rsidR="00654A7A">
        <w:rPr>
          <w:sz w:val="24"/>
          <w:szCs w:val="24"/>
        </w:rPr>
        <w:t> </w:t>
      </w:r>
      <w:r w:rsidR="00084477">
        <w:rPr>
          <w:sz w:val="24"/>
          <w:szCs w:val="24"/>
        </w:rPr>
        <w:t>101</w:t>
      </w:r>
      <w:r w:rsidR="00654A7A">
        <w:rPr>
          <w:sz w:val="24"/>
          <w:szCs w:val="24"/>
        </w:rPr>
        <w:t xml:space="preserve"> </w:t>
      </w:r>
      <w:r w:rsidR="00084477">
        <w:rPr>
          <w:sz w:val="24"/>
          <w:szCs w:val="24"/>
        </w:rPr>
        <w:t>3</w:t>
      </w:r>
      <w:r w:rsidR="00654A7A">
        <w:rPr>
          <w:sz w:val="24"/>
          <w:szCs w:val="24"/>
        </w:rPr>
        <w:t>00</w:t>
      </w:r>
      <w:r w:rsidR="00036177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Kč.</w:t>
      </w:r>
    </w:p>
    <w:p w14:paraId="309596A6" w14:textId="7A46FD0D" w:rsidR="00DE6FAC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3111, 3113</w:t>
      </w:r>
      <w:r w:rsidR="00133926" w:rsidRPr="009552EB">
        <w:rPr>
          <w:b/>
          <w:sz w:val="24"/>
          <w:szCs w:val="24"/>
        </w:rPr>
        <w:t xml:space="preserve">, </w:t>
      </w:r>
      <w:r w:rsidR="00822A9F">
        <w:rPr>
          <w:b/>
          <w:sz w:val="24"/>
          <w:szCs w:val="24"/>
        </w:rPr>
        <w:t>3121</w:t>
      </w:r>
      <w:r w:rsidR="00133926" w:rsidRPr="009552EB">
        <w:rPr>
          <w:b/>
          <w:sz w:val="24"/>
          <w:szCs w:val="24"/>
        </w:rPr>
        <w:t xml:space="preserve">, </w:t>
      </w:r>
      <w:r w:rsidR="00822A9F">
        <w:rPr>
          <w:b/>
          <w:sz w:val="24"/>
          <w:szCs w:val="24"/>
        </w:rPr>
        <w:t xml:space="preserve">3231, </w:t>
      </w:r>
      <w:r w:rsidR="00133926" w:rsidRPr="009552EB">
        <w:rPr>
          <w:b/>
          <w:sz w:val="24"/>
          <w:szCs w:val="24"/>
        </w:rPr>
        <w:t>3233</w:t>
      </w:r>
      <w:r w:rsidR="00822A9F">
        <w:rPr>
          <w:b/>
          <w:sz w:val="24"/>
          <w:szCs w:val="24"/>
        </w:rPr>
        <w:t>, 3412, 3419</w:t>
      </w:r>
      <w:r w:rsidR="00597BE0" w:rsidRPr="009552EB">
        <w:rPr>
          <w:sz w:val="24"/>
          <w:szCs w:val="24"/>
        </w:rPr>
        <w:t xml:space="preserve"> – výdaje v celk</w:t>
      </w:r>
      <w:r w:rsidR="00111CE0" w:rsidRPr="009552EB">
        <w:rPr>
          <w:sz w:val="24"/>
          <w:szCs w:val="24"/>
        </w:rPr>
        <w:t xml:space="preserve">ové výši </w:t>
      </w:r>
      <w:r w:rsidR="00B832D5">
        <w:rPr>
          <w:sz w:val="24"/>
          <w:szCs w:val="24"/>
        </w:rPr>
        <w:t>69 336 100</w:t>
      </w:r>
      <w:r w:rsidR="00654A7A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 xml:space="preserve">Kč představují náklady na provoz </w:t>
      </w:r>
      <w:r w:rsidR="005872DF" w:rsidRPr="009552EB">
        <w:rPr>
          <w:sz w:val="24"/>
          <w:szCs w:val="24"/>
        </w:rPr>
        <w:t>základních, mateřských</w:t>
      </w:r>
      <w:r w:rsidRPr="009552EB">
        <w:rPr>
          <w:sz w:val="24"/>
          <w:szCs w:val="24"/>
        </w:rPr>
        <w:t xml:space="preserve"> škol</w:t>
      </w:r>
      <w:r w:rsidR="0070013C" w:rsidRPr="009552EB">
        <w:rPr>
          <w:sz w:val="24"/>
          <w:szCs w:val="24"/>
        </w:rPr>
        <w:t xml:space="preserve"> a sportovních zařízení v majetku obce</w:t>
      </w:r>
      <w:r w:rsidRPr="009552EB">
        <w:rPr>
          <w:sz w:val="24"/>
          <w:szCs w:val="24"/>
        </w:rPr>
        <w:t xml:space="preserve">. </w:t>
      </w:r>
      <w:r w:rsidR="008358E9" w:rsidRPr="009552EB">
        <w:rPr>
          <w:sz w:val="24"/>
          <w:szCs w:val="24"/>
        </w:rPr>
        <w:t>J</w:t>
      </w:r>
      <w:r w:rsidR="00DE6FAC">
        <w:rPr>
          <w:sz w:val="24"/>
          <w:szCs w:val="24"/>
        </w:rPr>
        <w:t xml:space="preserve">e </w:t>
      </w:r>
      <w:r w:rsidR="008358E9" w:rsidRPr="009552EB">
        <w:rPr>
          <w:sz w:val="24"/>
          <w:szCs w:val="24"/>
        </w:rPr>
        <w:t xml:space="preserve">zde </w:t>
      </w:r>
      <w:r w:rsidR="00DE6FAC">
        <w:rPr>
          <w:sz w:val="24"/>
          <w:szCs w:val="24"/>
        </w:rPr>
        <w:t xml:space="preserve">plánována </w:t>
      </w:r>
      <w:r w:rsidR="00722C5A">
        <w:rPr>
          <w:sz w:val="24"/>
          <w:szCs w:val="24"/>
        </w:rPr>
        <w:t>sanace krovu</w:t>
      </w:r>
      <w:r w:rsidR="00021EF3" w:rsidRPr="009552EB">
        <w:rPr>
          <w:sz w:val="24"/>
          <w:szCs w:val="24"/>
        </w:rPr>
        <w:t> MŠ II v</w:t>
      </w:r>
      <w:r w:rsidR="00DE6FAC">
        <w:rPr>
          <w:sz w:val="24"/>
          <w:szCs w:val="24"/>
        </w:rPr>
        <w:t> </w:t>
      </w:r>
      <w:r w:rsidR="00021EF3" w:rsidRPr="009552EB">
        <w:rPr>
          <w:sz w:val="24"/>
          <w:szCs w:val="24"/>
        </w:rPr>
        <w:t>Třeboradicích</w:t>
      </w:r>
      <w:r w:rsidR="00DE6FAC">
        <w:rPr>
          <w:sz w:val="24"/>
          <w:szCs w:val="24"/>
        </w:rPr>
        <w:t xml:space="preserve">, </w:t>
      </w:r>
      <w:r w:rsidR="007C6F63">
        <w:rPr>
          <w:sz w:val="24"/>
          <w:szCs w:val="24"/>
        </w:rPr>
        <w:t xml:space="preserve">drobné opravy v MŠ a </w:t>
      </w:r>
      <w:r w:rsidR="004C4F48" w:rsidRPr="009552EB">
        <w:rPr>
          <w:sz w:val="24"/>
          <w:szCs w:val="24"/>
        </w:rPr>
        <w:t xml:space="preserve">servis VZT ve </w:t>
      </w:r>
      <w:r w:rsidR="00E850EF" w:rsidRPr="009552EB">
        <w:rPr>
          <w:sz w:val="24"/>
          <w:szCs w:val="24"/>
        </w:rPr>
        <w:t>školském</w:t>
      </w:r>
      <w:r w:rsidR="00420A4C">
        <w:rPr>
          <w:sz w:val="24"/>
          <w:szCs w:val="24"/>
        </w:rPr>
        <w:t xml:space="preserve"> zařízen</w:t>
      </w:r>
      <w:r w:rsidR="003517B2">
        <w:rPr>
          <w:sz w:val="24"/>
          <w:szCs w:val="24"/>
        </w:rPr>
        <w:t>í</w:t>
      </w:r>
      <w:r w:rsidR="00021EF3" w:rsidRPr="009552EB">
        <w:rPr>
          <w:sz w:val="24"/>
          <w:szCs w:val="24"/>
        </w:rPr>
        <w:t xml:space="preserve">. </w:t>
      </w:r>
      <w:r w:rsidR="00B832D5">
        <w:rPr>
          <w:sz w:val="24"/>
          <w:szCs w:val="24"/>
        </w:rPr>
        <w:t xml:space="preserve">Razantní navýšení je z důvodu změny financování nepedagogických pracovníků. </w:t>
      </w:r>
      <w:r w:rsidR="004C4F48" w:rsidRPr="009552EB">
        <w:rPr>
          <w:sz w:val="24"/>
          <w:szCs w:val="24"/>
        </w:rPr>
        <w:t xml:space="preserve">Součástí této kapitoly </w:t>
      </w:r>
      <w:r w:rsidR="00C60620">
        <w:rPr>
          <w:sz w:val="24"/>
          <w:szCs w:val="24"/>
        </w:rPr>
        <w:t>jsou dary pro místní gymnázium,</w:t>
      </w:r>
      <w:r w:rsidR="004C4F48" w:rsidRPr="009552EB">
        <w:rPr>
          <w:sz w:val="24"/>
          <w:szCs w:val="24"/>
        </w:rPr>
        <w:t xml:space="preserve"> </w:t>
      </w:r>
      <w:r w:rsidR="00CB6577">
        <w:rPr>
          <w:sz w:val="24"/>
          <w:szCs w:val="24"/>
        </w:rPr>
        <w:t>základní uměleckou školu</w:t>
      </w:r>
      <w:r w:rsidR="00C60620">
        <w:rPr>
          <w:sz w:val="24"/>
          <w:szCs w:val="24"/>
        </w:rPr>
        <w:t xml:space="preserve"> a střední odbornou školu</w:t>
      </w:r>
      <w:r w:rsidR="004C4F48" w:rsidRPr="009552EB">
        <w:rPr>
          <w:sz w:val="24"/>
          <w:szCs w:val="24"/>
        </w:rPr>
        <w:t xml:space="preserve">. </w:t>
      </w:r>
      <w:r w:rsidR="00654A7A">
        <w:rPr>
          <w:sz w:val="24"/>
          <w:szCs w:val="24"/>
        </w:rPr>
        <w:t>20</w:t>
      </w:r>
      <w:r w:rsidR="00270279" w:rsidRPr="009552EB">
        <w:rPr>
          <w:sz w:val="24"/>
          <w:szCs w:val="24"/>
        </w:rPr>
        <w:t>0</w:t>
      </w:r>
      <w:r w:rsidR="00402F9A" w:rsidRPr="009552EB">
        <w:rPr>
          <w:sz w:val="24"/>
          <w:szCs w:val="24"/>
        </w:rPr>
        <w:t xml:space="preserve"> 000 Kč </w:t>
      </w:r>
      <w:r w:rsidR="00036177" w:rsidRPr="009552EB">
        <w:rPr>
          <w:sz w:val="24"/>
          <w:szCs w:val="24"/>
        </w:rPr>
        <w:t xml:space="preserve">je určeno </w:t>
      </w:r>
      <w:r w:rsidR="00BC4F72" w:rsidRPr="009552EB">
        <w:rPr>
          <w:sz w:val="24"/>
          <w:szCs w:val="24"/>
        </w:rPr>
        <w:t>na</w:t>
      </w:r>
      <w:r w:rsidR="00681059" w:rsidRPr="009552EB">
        <w:rPr>
          <w:sz w:val="24"/>
          <w:szCs w:val="24"/>
        </w:rPr>
        <w:t xml:space="preserve"> provoz nízkoprahového centra</w:t>
      </w:r>
      <w:r w:rsidR="008358E9" w:rsidRPr="009552EB">
        <w:rPr>
          <w:sz w:val="24"/>
          <w:szCs w:val="24"/>
        </w:rPr>
        <w:t>.</w:t>
      </w:r>
      <w:r w:rsidR="00777550" w:rsidRPr="009552EB">
        <w:rPr>
          <w:sz w:val="24"/>
          <w:szCs w:val="24"/>
        </w:rPr>
        <w:t xml:space="preserve"> </w:t>
      </w:r>
      <w:r w:rsidR="00195A02" w:rsidRPr="009552EB">
        <w:rPr>
          <w:sz w:val="24"/>
          <w:szCs w:val="24"/>
        </w:rPr>
        <w:t>V </w:t>
      </w:r>
      <w:r w:rsidR="0070013C" w:rsidRPr="009552EB">
        <w:rPr>
          <w:sz w:val="24"/>
          <w:szCs w:val="24"/>
        </w:rPr>
        <w:t>ne</w:t>
      </w:r>
      <w:r w:rsidR="00195A02" w:rsidRPr="009552EB">
        <w:rPr>
          <w:sz w:val="24"/>
          <w:szCs w:val="24"/>
        </w:rPr>
        <w:t xml:space="preserve">poslední řadě je zde alokována částka ve výši </w:t>
      </w:r>
      <w:r w:rsidR="001D0210" w:rsidRPr="009552EB">
        <w:rPr>
          <w:sz w:val="24"/>
          <w:szCs w:val="24"/>
        </w:rPr>
        <w:t>2</w:t>
      </w:r>
      <w:r w:rsidR="001D33A2">
        <w:rPr>
          <w:sz w:val="24"/>
          <w:szCs w:val="24"/>
        </w:rPr>
        <w:t> </w:t>
      </w:r>
      <w:r w:rsidR="00B832D5">
        <w:rPr>
          <w:sz w:val="24"/>
          <w:szCs w:val="24"/>
        </w:rPr>
        <w:t>5</w:t>
      </w:r>
      <w:r w:rsidR="00654A7A">
        <w:rPr>
          <w:sz w:val="24"/>
          <w:szCs w:val="24"/>
        </w:rPr>
        <w:t>00</w:t>
      </w:r>
      <w:r w:rsidR="001D33A2">
        <w:rPr>
          <w:sz w:val="24"/>
          <w:szCs w:val="24"/>
        </w:rPr>
        <w:t xml:space="preserve"> 000</w:t>
      </w:r>
      <w:r w:rsidR="00681059" w:rsidRPr="009552EB">
        <w:rPr>
          <w:sz w:val="24"/>
          <w:szCs w:val="24"/>
        </w:rPr>
        <w:t xml:space="preserve"> </w:t>
      </w:r>
      <w:r w:rsidR="00BC4F72" w:rsidRPr="009552EB">
        <w:rPr>
          <w:sz w:val="24"/>
          <w:szCs w:val="24"/>
        </w:rPr>
        <w:t>Kč</w:t>
      </w:r>
      <w:r w:rsidR="00681059" w:rsidRPr="009552EB">
        <w:rPr>
          <w:sz w:val="24"/>
          <w:szCs w:val="24"/>
        </w:rPr>
        <w:t>, která představuje dotace a finanční výpomoci</w:t>
      </w:r>
      <w:r w:rsidR="00B9525D" w:rsidRPr="009552EB">
        <w:rPr>
          <w:sz w:val="24"/>
          <w:szCs w:val="24"/>
        </w:rPr>
        <w:t xml:space="preserve"> sportovním spolkům.</w:t>
      </w:r>
      <w:r w:rsidR="00036177" w:rsidRPr="009552EB">
        <w:rPr>
          <w:sz w:val="24"/>
          <w:szCs w:val="24"/>
        </w:rPr>
        <w:t xml:space="preserve"> </w:t>
      </w:r>
    </w:p>
    <w:p w14:paraId="03F66194" w14:textId="45425D61" w:rsidR="00807680" w:rsidRPr="009552EB" w:rsidRDefault="00DE6FAC" w:rsidP="008C3ECB">
      <w:pPr>
        <w:pStyle w:val="Titulek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E0A14E1" w14:textId="77777777" w:rsidR="00807680" w:rsidRPr="009552EB" w:rsidRDefault="00420A4C" w:rsidP="0080768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Oddíl § 4372</w:t>
      </w:r>
      <w:r w:rsidR="00807680" w:rsidRPr="009552EB">
        <w:rPr>
          <w:sz w:val="24"/>
          <w:szCs w:val="24"/>
        </w:rPr>
        <w:t xml:space="preserve"> – představují výdaje na </w:t>
      </w:r>
      <w:r>
        <w:rPr>
          <w:sz w:val="24"/>
          <w:szCs w:val="24"/>
        </w:rPr>
        <w:t>boj s hmotnou nouzí, bezdomovectvím a také sociální služby.</w:t>
      </w:r>
    </w:p>
    <w:p w14:paraId="03CFB25D" w14:textId="2198C4DB" w:rsidR="00FE65DA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12</w:t>
      </w:r>
      <w:r w:rsidR="00B2065D" w:rsidRPr="009552EB">
        <w:rPr>
          <w:sz w:val="24"/>
          <w:szCs w:val="24"/>
        </w:rPr>
        <w:fldChar w:fldCharType="end"/>
      </w:r>
      <w:r w:rsidR="00822A9F">
        <w:rPr>
          <w:sz w:val="24"/>
          <w:szCs w:val="24"/>
        </w:rPr>
        <w:t xml:space="preserve"> Kapitola 06 – Kultura </w:t>
      </w:r>
      <w:r w:rsidRPr="009552EB">
        <w:rPr>
          <w:sz w:val="24"/>
          <w:szCs w:val="24"/>
        </w:rPr>
        <w:t>a cestovní ruch, běžné výdaje</w:t>
      </w:r>
    </w:p>
    <w:tbl>
      <w:tblPr>
        <w:tblW w:w="9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5363"/>
        <w:gridCol w:w="2722"/>
      </w:tblGrid>
      <w:tr w:rsidR="007B3210" w:rsidRPr="007B3210" w14:paraId="3E0D36A4" w14:textId="77777777" w:rsidTr="007B3210">
        <w:trPr>
          <w:trHeight w:val="297"/>
        </w:trPr>
        <w:tc>
          <w:tcPr>
            <w:tcW w:w="91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bottom"/>
            <w:hideMark/>
          </w:tcPr>
          <w:p w14:paraId="1D256129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7B3210">
              <w:rPr>
                <w:rFonts w:cs="Calibri"/>
                <w:b/>
                <w:bCs/>
                <w:color w:val="FFFFFF"/>
                <w:sz w:val="18"/>
                <w:szCs w:val="18"/>
              </w:rPr>
              <w:t>06. KULTURA, SPORT A CESTOVNÍ RUCH</w:t>
            </w:r>
          </w:p>
        </w:tc>
      </w:tr>
      <w:tr w:rsidR="007B3210" w:rsidRPr="007B3210" w14:paraId="4EF18217" w14:textId="77777777" w:rsidTr="007B3210">
        <w:trPr>
          <w:trHeight w:val="297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BF5F5C4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7B3210">
              <w:rPr>
                <w:rFonts w:cs="Calibri"/>
                <w:b/>
                <w:bCs/>
                <w:i/>
                <w:iCs/>
                <w:sz w:val="18"/>
                <w:szCs w:val="18"/>
              </w:rPr>
              <w:t>oddíl §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5E21EEB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7B3210">
              <w:rPr>
                <w:rFonts w:cs="Calibri"/>
                <w:b/>
                <w:bCs/>
                <w:i/>
                <w:iCs/>
                <w:sz w:val="18"/>
                <w:szCs w:val="18"/>
              </w:rPr>
              <w:t>Název položky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center"/>
            <w:hideMark/>
          </w:tcPr>
          <w:p w14:paraId="0EC8F87D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7B3210">
              <w:rPr>
                <w:rFonts w:cs="Calibri"/>
                <w:b/>
                <w:bCs/>
                <w:i/>
                <w:iCs/>
                <w:sz w:val="18"/>
                <w:szCs w:val="18"/>
              </w:rPr>
              <w:t>RU 2026</w:t>
            </w:r>
          </w:p>
        </w:tc>
      </w:tr>
      <w:tr w:rsidR="007B3210" w:rsidRPr="007B3210" w14:paraId="2E72EB68" w14:textId="77777777" w:rsidTr="007B3210">
        <w:trPr>
          <w:trHeight w:val="297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8C6A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3314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931B" w14:textId="77777777" w:rsidR="007B3210" w:rsidRPr="007B3210" w:rsidRDefault="007B3210" w:rsidP="007B3210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knihovny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B290F" w14:textId="77777777" w:rsidR="007B3210" w:rsidRPr="007B3210" w:rsidRDefault="007B3210" w:rsidP="007B3210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1 006 400,00 Kč</w:t>
            </w:r>
          </w:p>
        </w:tc>
      </w:tr>
      <w:tr w:rsidR="007B3210" w:rsidRPr="007B3210" w14:paraId="2871AE20" w14:textId="77777777" w:rsidTr="007B3210">
        <w:trPr>
          <w:trHeight w:val="297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CF26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3319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9A87" w14:textId="77777777" w:rsidR="007B3210" w:rsidRPr="007B3210" w:rsidRDefault="007B3210" w:rsidP="007B3210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ostatní záležitosti kultury - spolky, Sýpka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50FF2" w14:textId="77777777" w:rsidR="007B3210" w:rsidRPr="007B3210" w:rsidRDefault="007B3210" w:rsidP="007B3210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991 700,00 Kč</w:t>
            </w:r>
          </w:p>
        </w:tc>
      </w:tr>
      <w:tr w:rsidR="007B3210" w:rsidRPr="007B3210" w14:paraId="0D32EBEA" w14:textId="77777777" w:rsidTr="007B3210">
        <w:trPr>
          <w:trHeight w:val="297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DB17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3399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D68D" w14:textId="77777777" w:rsidR="007B3210" w:rsidRPr="007B3210" w:rsidRDefault="007B3210" w:rsidP="007B3210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 xml:space="preserve">ostatní záležitosti kultury, církví a sděl. </w:t>
            </w:r>
            <w:proofErr w:type="spellStart"/>
            <w:r w:rsidRPr="007B3210">
              <w:rPr>
                <w:rFonts w:cs="Calibri"/>
                <w:sz w:val="18"/>
                <w:szCs w:val="18"/>
              </w:rPr>
              <w:t>prostř</w:t>
            </w:r>
            <w:proofErr w:type="spellEnd"/>
            <w:r w:rsidRPr="007B3210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9A6DB" w14:textId="77777777" w:rsidR="007B3210" w:rsidRPr="007B3210" w:rsidRDefault="007B3210" w:rsidP="007B3210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500 000,00</w:t>
            </w:r>
          </w:p>
        </w:tc>
      </w:tr>
      <w:tr w:rsidR="007B3210" w:rsidRPr="007B3210" w14:paraId="2FF5666D" w14:textId="77777777" w:rsidTr="007B3210">
        <w:trPr>
          <w:trHeight w:val="314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2701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3399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37A4" w14:textId="77777777" w:rsidR="007B3210" w:rsidRPr="007B3210" w:rsidRDefault="007B3210" w:rsidP="007B3210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ostatní záležitosti kultury (OOS, Senioři, MČ)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D662B" w14:textId="77777777" w:rsidR="007B3210" w:rsidRPr="007B3210" w:rsidRDefault="007B3210" w:rsidP="007B3210">
            <w:pPr>
              <w:spacing w:before="0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7B3210">
              <w:rPr>
                <w:rFonts w:cs="Calibri"/>
                <w:sz w:val="18"/>
                <w:szCs w:val="18"/>
              </w:rPr>
              <w:t>5 107 600,00 Kč</w:t>
            </w:r>
          </w:p>
        </w:tc>
      </w:tr>
      <w:tr w:rsidR="007B3210" w:rsidRPr="007B3210" w14:paraId="72B05E21" w14:textId="77777777" w:rsidTr="007B3210">
        <w:trPr>
          <w:trHeight w:val="314"/>
        </w:trPr>
        <w:tc>
          <w:tcPr>
            <w:tcW w:w="6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74671F2A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B3210">
              <w:rPr>
                <w:rFonts w:cs="Calibri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3323779C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B3210">
              <w:rPr>
                <w:rFonts w:cs="Calibri"/>
                <w:b/>
                <w:bCs/>
                <w:sz w:val="18"/>
                <w:szCs w:val="18"/>
              </w:rPr>
              <w:t xml:space="preserve">             7 605 700,00 Kč </w:t>
            </w:r>
          </w:p>
        </w:tc>
      </w:tr>
    </w:tbl>
    <w:p w14:paraId="0BF7F1FC" w14:textId="7FCADCF5" w:rsidR="007B3210" w:rsidRPr="007B3210" w:rsidRDefault="007B3210" w:rsidP="007B3210"/>
    <w:p w14:paraId="51FA5D38" w14:textId="41BAC29A" w:rsidR="00FE65DA" w:rsidRPr="00A97AB1" w:rsidRDefault="00FE65DA" w:rsidP="004C4F48">
      <w:pPr>
        <w:jc w:val="center"/>
      </w:pPr>
    </w:p>
    <w:p w14:paraId="0CD71978" w14:textId="36C951FE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</w:t>
      </w:r>
      <w:r w:rsidR="00867966" w:rsidRPr="009552EB">
        <w:rPr>
          <w:sz w:val="24"/>
          <w:szCs w:val="24"/>
        </w:rPr>
        <w:t xml:space="preserve">je rozpočtována v celkové výši </w:t>
      </w:r>
      <w:r w:rsidR="008C3ECB">
        <w:rPr>
          <w:sz w:val="24"/>
          <w:szCs w:val="24"/>
        </w:rPr>
        <w:t>7 355 700</w:t>
      </w:r>
      <w:r w:rsidRPr="009552EB">
        <w:rPr>
          <w:sz w:val="24"/>
          <w:szCs w:val="24"/>
        </w:rPr>
        <w:t xml:space="preserve"> Kč.</w:t>
      </w:r>
    </w:p>
    <w:p w14:paraId="32F8C831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3314</w:t>
      </w:r>
      <w:r w:rsidRPr="009552EB">
        <w:rPr>
          <w:sz w:val="24"/>
          <w:szCs w:val="24"/>
        </w:rPr>
        <w:t xml:space="preserve"> – představují výdaje na provoz místních knihoven</w:t>
      </w:r>
      <w:r w:rsidR="0044610D" w:rsidRPr="009552EB">
        <w:rPr>
          <w:sz w:val="24"/>
          <w:szCs w:val="24"/>
        </w:rPr>
        <w:t>,</w:t>
      </w:r>
      <w:r w:rsidRPr="009552EB">
        <w:rPr>
          <w:sz w:val="24"/>
          <w:szCs w:val="24"/>
        </w:rPr>
        <w:t xml:space="preserve"> jako jsou mzdy nebo energie</w:t>
      </w:r>
      <w:r w:rsidR="00215705" w:rsidRPr="009552EB">
        <w:rPr>
          <w:sz w:val="24"/>
          <w:szCs w:val="24"/>
        </w:rPr>
        <w:t>, nákup knih</w:t>
      </w:r>
      <w:r w:rsidR="0044610D" w:rsidRPr="009552EB">
        <w:rPr>
          <w:sz w:val="24"/>
          <w:szCs w:val="24"/>
        </w:rPr>
        <w:t>.</w:t>
      </w:r>
    </w:p>
    <w:p w14:paraId="0D24D11A" w14:textId="77777777" w:rsidR="002C565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 xml:space="preserve">Oddíl § 3319 </w:t>
      </w:r>
      <w:r w:rsidRPr="009552EB">
        <w:rPr>
          <w:sz w:val="24"/>
          <w:szCs w:val="24"/>
        </w:rPr>
        <w:t xml:space="preserve">– výdaje, prostřednictvím kterých </w:t>
      </w:r>
      <w:r w:rsidR="002C565B">
        <w:rPr>
          <w:sz w:val="24"/>
          <w:szCs w:val="24"/>
        </w:rPr>
        <w:t xml:space="preserve">MČ </w:t>
      </w:r>
      <w:r w:rsidRPr="009552EB">
        <w:rPr>
          <w:sz w:val="24"/>
          <w:szCs w:val="24"/>
        </w:rPr>
        <w:t>poskytuje dotace na provoz různých zájmových sdružení. Jedná se o sportovní, kulturní či sociální organizace.</w:t>
      </w:r>
      <w:r w:rsidR="00C05337" w:rsidRPr="009552EB">
        <w:rPr>
          <w:sz w:val="24"/>
          <w:szCs w:val="24"/>
        </w:rPr>
        <w:t xml:space="preserve"> </w:t>
      </w:r>
    </w:p>
    <w:p w14:paraId="587688FE" w14:textId="59508810" w:rsidR="00C05337" w:rsidRPr="009552EB" w:rsidRDefault="002C565B" w:rsidP="006A784A">
      <w:pPr>
        <w:jc w:val="both"/>
        <w:rPr>
          <w:sz w:val="24"/>
          <w:szCs w:val="24"/>
        </w:rPr>
      </w:pPr>
      <w:r w:rsidRPr="002C565B">
        <w:rPr>
          <w:b/>
          <w:bCs/>
          <w:sz w:val="24"/>
          <w:szCs w:val="24"/>
        </w:rPr>
        <w:t>O</w:t>
      </w:r>
      <w:r w:rsidR="00C05337" w:rsidRPr="002C565B">
        <w:rPr>
          <w:b/>
          <w:bCs/>
          <w:sz w:val="24"/>
          <w:szCs w:val="24"/>
        </w:rPr>
        <w:t>ddílu § 3399</w:t>
      </w:r>
      <w:r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zde </w:t>
      </w:r>
      <w:r w:rsidR="008A21E9" w:rsidRPr="009552EB">
        <w:rPr>
          <w:sz w:val="24"/>
          <w:szCs w:val="24"/>
        </w:rPr>
        <w:t xml:space="preserve">jsou uvedeny </w:t>
      </w:r>
      <w:r>
        <w:rPr>
          <w:sz w:val="24"/>
          <w:szCs w:val="24"/>
        </w:rPr>
        <w:t xml:space="preserve">výdaje na </w:t>
      </w:r>
      <w:r w:rsidR="008A21E9" w:rsidRPr="009552EB">
        <w:rPr>
          <w:sz w:val="24"/>
          <w:szCs w:val="24"/>
        </w:rPr>
        <w:t xml:space="preserve">tradiční akce MČ, jako je </w:t>
      </w:r>
      <w:r w:rsidR="005872DF" w:rsidRPr="009552EB">
        <w:rPr>
          <w:sz w:val="24"/>
          <w:szCs w:val="24"/>
        </w:rPr>
        <w:t>Čakovické</w:t>
      </w:r>
      <w:r w:rsidR="008A21E9" w:rsidRPr="009552EB">
        <w:rPr>
          <w:sz w:val="24"/>
          <w:szCs w:val="24"/>
        </w:rPr>
        <w:t xml:space="preserve"> posvícení, setkání pedagogů</w:t>
      </w:r>
      <w:r w:rsidR="00DB6FAA">
        <w:rPr>
          <w:sz w:val="24"/>
          <w:szCs w:val="24"/>
        </w:rPr>
        <w:t xml:space="preserve">, </w:t>
      </w:r>
      <w:r w:rsidR="003507FC">
        <w:rPr>
          <w:sz w:val="24"/>
          <w:szCs w:val="24"/>
        </w:rPr>
        <w:t xml:space="preserve">akce kulturní komise, </w:t>
      </w:r>
      <w:proofErr w:type="spellStart"/>
      <w:r w:rsidR="003507FC">
        <w:rPr>
          <w:sz w:val="24"/>
          <w:szCs w:val="24"/>
        </w:rPr>
        <w:t>Zámekfest</w:t>
      </w:r>
      <w:proofErr w:type="spellEnd"/>
      <w:r w:rsidR="003507FC">
        <w:rPr>
          <w:sz w:val="24"/>
          <w:szCs w:val="24"/>
        </w:rPr>
        <w:t xml:space="preserve"> nebo </w:t>
      </w:r>
      <w:r w:rsidR="00846E1A">
        <w:rPr>
          <w:sz w:val="24"/>
          <w:szCs w:val="24"/>
        </w:rPr>
        <w:t>ples naší MČ</w:t>
      </w:r>
      <w:r w:rsidR="003507FC">
        <w:rPr>
          <w:sz w:val="24"/>
          <w:szCs w:val="24"/>
        </w:rPr>
        <w:t>.</w:t>
      </w:r>
      <w:r w:rsidR="007263F4" w:rsidRPr="009552EB">
        <w:rPr>
          <w:sz w:val="24"/>
          <w:szCs w:val="24"/>
        </w:rPr>
        <w:t xml:space="preserve"> Jsou zde také výdaje </w:t>
      </w:r>
      <w:r w:rsidR="00E32259">
        <w:rPr>
          <w:sz w:val="24"/>
          <w:szCs w:val="24"/>
        </w:rPr>
        <w:t>694</w:t>
      </w:r>
      <w:r w:rsidR="004C4F48" w:rsidRPr="009552EB">
        <w:rPr>
          <w:sz w:val="24"/>
          <w:szCs w:val="24"/>
        </w:rPr>
        <w:t xml:space="preserve"> </w:t>
      </w:r>
      <w:r w:rsidR="008A21E9" w:rsidRPr="009552EB">
        <w:rPr>
          <w:sz w:val="24"/>
          <w:szCs w:val="24"/>
        </w:rPr>
        <w:t>tis. na provoz klubu seniorů</w:t>
      </w:r>
      <w:r w:rsidR="00A014DF">
        <w:rPr>
          <w:sz w:val="24"/>
          <w:szCs w:val="24"/>
        </w:rPr>
        <w:t xml:space="preserve"> </w:t>
      </w:r>
      <w:r w:rsidR="008A21E9" w:rsidRPr="009552EB">
        <w:rPr>
          <w:sz w:val="24"/>
          <w:szCs w:val="24"/>
        </w:rPr>
        <w:t xml:space="preserve">a výdaje ve výši </w:t>
      </w:r>
      <w:r w:rsidR="00B61C32">
        <w:rPr>
          <w:sz w:val="24"/>
          <w:szCs w:val="24"/>
        </w:rPr>
        <w:t>807</w:t>
      </w:r>
      <w:r w:rsidR="008F1938">
        <w:rPr>
          <w:sz w:val="24"/>
          <w:szCs w:val="24"/>
        </w:rPr>
        <w:t xml:space="preserve"> </w:t>
      </w:r>
      <w:r w:rsidR="008A21E9" w:rsidRPr="009552EB">
        <w:rPr>
          <w:sz w:val="24"/>
          <w:szCs w:val="24"/>
        </w:rPr>
        <w:t>tis. na sociální výdaje (v</w:t>
      </w:r>
      <w:r w:rsidR="00BC4F72" w:rsidRPr="009552EB">
        <w:rPr>
          <w:sz w:val="24"/>
          <w:szCs w:val="24"/>
        </w:rPr>
        <w:t xml:space="preserve">ítání občánků, jubilea </w:t>
      </w:r>
      <w:r w:rsidR="008A21E9" w:rsidRPr="009552EB">
        <w:rPr>
          <w:sz w:val="24"/>
          <w:szCs w:val="24"/>
        </w:rPr>
        <w:t>a benefiční poukázky)</w:t>
      </w:r>
      <w:r w:rsidR="00654A7A">
        <w:rPr>
          <w:sz w:val="24"/>
          <w:szCs w:val="24"/>
        </w:rPr>
        <w:t xml:space="preserve">. </w:t>
      </w:r>
    </w:p>
    <w:p w14:paraId="56725B1A" w14:textId="297BC435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13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07 – Bezpečnost, běžné výdaje</w:t>
      </w:r>
    </w:p>
    <w:p w14:paraId="09F0D99B" w14:textId="6CFDFC14" w:rsidR="008F161F" w:rsidRDefault="005128A5" w:rsidP="00787387">
      <w:r w:rsidRPr="005128A5">
        <w:rPr>
          <w:noProof/>
        </w:rPr>
        <w:drawing>
          <wp:inline distT="0" distB="0" distL="0" distR="0" wp14:anchorId="66BC7669" wp14:editId="671790C1">
            <wp:extent cx="5752381" cy="1076190"/>
            <wp:effectExtent l="0" t="0" r="1270" b="0"/>
            <wp:docPr id="18162203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20375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8D54A" w14:textId="59D849B8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5128A5">
        <w:rPr>
          <w:sz w:val="24"/>
          <w:szCs w:val="24"/>
        </w:rPr>
        <w:t>1893</w:t>
      </w:r>
      <w:r w:rsidR="003E47A3">
        <w:rPr>
          <w:sz w:val="24"/>
          <w:szCs w:val="24"/>
        </w:rPr>
        <w:t xml:space="preserve"> </w:t>
      </w:r>
      <w:r w:rsidR="005128A5">
        <w:rPr>
          <w:sz w:val="24"/>
          <w:szCs w:val="24"/>
        </w:rPr>
        <w:t>9</w:t>
      </w:r>
      <w:r w:rsidR="003E47A3">
        <w:rPr>
          <w:sz w:val="24"/>
          <w:szCs w:val="24"/>
        </w:rPr>
        <w:t>00</w:t>
      </w:r>
      <w:r w:rsidRPr="009552EB">
        <w:rPr>
          <w:sz w:val="24"/>
          <w:szCs w:val="24"/>
        </w:rPr>
        <w:t xml:space="preserve"> Kč.</w:t>
      </w:r>
    </w:p>
    <w:p w14:paraId="547B6ABF" w14:textId="36A6D33B" w:rsidR="00654A7A" w:rsidRDefault="00654A7A" w:rsidP="00654A7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5</w:t>
      </w:r>
      <w:r>
        <w:rPr>
          <w:b/>
          <w:sz w:val="24"/>
          <w:szCs w:val="24"/>
        </w:rPr>
        <w:t>311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>jsou</w:t>
      </w:r>
      <w:r w:rsidRPr="009552EB">
        <w:rPr>
          <w:sz w:val="24"/>
          <w:szCs w:val="24"/>
        </w:rPr>
        <w:t xml:space="preserve"> výdaje na </w:t>
      </w:r>
      <w:r>
        <w:rPr>
          <w:sz w:val="24"/>
          <w:szCs w:val="24"/>
        </w:rPr>
        <w:t>bezpečnost a veřejný pořádek</w:t>
      </w:r>
      <w:r w:rsidRPr="009552EB">
        <w:rPr>
          <w:sz w:val="24"/>
          <w:szCs w:val="24"/>
        </w:rPr>
        <w:t>.</w:t>
      </w:r>
      <w:r>
        <w:rPr>
          <w:sz w:val="24"/>
          <w:szCs w:val="24"/>
        </w:rPr>
        <w:t xml:space="preserve"> Zahrnuje v sobě studie, pořádaní dne IZS nebo přednášky v příspěvkových organizacích na téma bezpečnosti</w:t>
      </w:r>
      <w:r w:rsidR="00ED0EE0">
        <w:rPr>
          <w:sz w:val="24"/>
          <w:szCs w:val="24"/>
        </w:rPr>
        <w:t xml:space="preserve"> a provoz kamerového systé</w:t>
      </w:r>
      <w:r w:rsidR="002E6480">
        <w:rPr>
          <w:sz w:val="24"/>
          <w:szCs w:val="24"/>
        </w:rPr>
        <w:t>m</w:t>
      </w:r>
      <w:r w:rsidR="00ED0EE0">
        <w:rPr>
          <w:sz w:val="24"/>
          <w:szCs w:val="24"/>
        </w:rPr>
        <w:t>u</w:t>
      </w:r>
      <w:r w:rsidR="002E6480">
        <w:rPr>
          <w:sz w:val="24"/>
          <w:szCs w:val="24"/>
        </w:rPr>
        <w:t>.</w:t>
      </w:r>
    </w:p>
    <w:p w14:paraId="1DBB0CC3" w14:textId="77777777" w:rsidR="003E47A3" w:rsidRDefault="00FE65DA" w:rsidP="007C6F63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lastRenderedPageBreak/>
        <w:t>Oddíl § 5512</w:t>
      </w:r>
      <w:r w:rsidRPr="009552EB">
        <w:rPr>
          <w:sz w:val="24"/>
          <w:szCs w:val="24"/>
        </w:rPr>
        <w:t xml:space="preserve"> – představují výdaje na financování jednotky sboru dobrovolných hasičů MČ </w:t>
      </w:r>
      <w:r w:rsidR="00A13832">
        <w:rPr>
          <w:sz w:val="24"/>
          <w:szCs w:val="24"/>
        </w:rPr>
        <w:t>Praha-</w:t>
      </w:r>
      <w:r w:rsidRPr="009552EB">
        <w:rPr>
          <w:sz w:val="24"/>
          <w:szCs w:val="24"/>
        </w:rPr>
        <w:t xml:space="preserve">Čakovice. Dle zákona je obec </w:t>
      </w:r>
      <w:r w:rsidR="00C05337" w:rsidRPr="009552EB">
        <w:rPr>
          <w:sz w:val="24"/>
          <w:szCs w:val="24"/>
        </w:rPr>
        <w:t xml:space="preserve">či městská </w:t>
      </w:r>
      <w:r w:rsidRPr="009552EB">
        <w:rPr>
          <w:sz w:val="24"/>
          <w:szCs w:val="24"/>
        </w:rPr>
        <w:t>část povinna mít zřízenou jednotku požární ochrany nebo mít tuto ochranu zajištěnou prostřednictvím smlouvy s jednotkou jinou.</w:t>
      </w:r>
    </w:p>
    <w:p w14:paraId="2BE5537B" w14:textId="6C408A6C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14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08 – Hospodářství, běžné výdaje</w:t>
      </w:r>
    </w:p>
    <w:p w14:paraId="17C069D5" w14:textId="64BCCBF1" w:rsidR="00FE65DA" w:rsidRPr="00C51834" w:rsidRDefault="00C45472" w:rsidP="004C4F48">
      <w:pPr>
        <w:jc w:val="center"/>
      </w:pPr>
      <w:r w:rsidRPr="00C45472">
        <w:rPr>
          <w:noProof/>
        </w:rPr>
        <w:drawing>
          <wp:inline distT="0" distB="0" distL="0" distR="0" wp14:anchorId="39E8D9D5" wp14:editId="34F98ED4">
            <wp:extent cx="5752381" cy="1085714"/>
            <wp:effectExtent l="0" t="0" r="1270" b="635"/>
            <wp:docPr id="7668051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0519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8C32E" w14:textId="77AC273D" w:rsidR="00C05337" w:rsidRPr="009552EB" w:rsidRDefault="00C05337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867966" w:rsidRPr="009552EB">
        <w:rPr>
          <w:sz w:val="24"/>
          <w:szCs w:val="24"/>
        </w:rPr>
        <w:t>e rozpo</w:t>
      </w:r>
      <w:r w:rsidR="00A014DF">
        <w:rPr>
          <w:sz w:val="24"/>
          <w:szCs w:val="24"/>
        </w:rPr>
        <w:t xml:space="preserve">čtována v celkové výši </w:t>
      </w:r>
      <w:r w:rsidR="00C45472">
        <w:rPr>
          <w:sz w:val="24"/>
          <w:szCs w:val="24"/>
        </w:rPr>
        <w:t>6 371 000</w:t>
      </w:r>
      <w:r w:rsidRPr="009552EB">
        <w:rPr>
          <w:sz w:val="24"/>
          <w:szCs w:val="24"/>
        </w:rPr>
        <w:t xml:space="preserve"> Kč.</w:t>
      </w:r>
    </w:p>
    <w:p w14:paraId="24549B65" w14:textId="0F025496" w:rsidR="002C45B0" w:rsidRPr="009552EB" w:rsidRDefault="005314B5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3613</w:t>
      </w:r>
      <w:r w:rsidRPr="009552EB">
        <w:rPr>
          <w:sz w:val="24"/>
          <w:szCs w:val="24"/>
        </w:rPr>
        <w:t xml:space="preserve"> </w:t>
      </w:r>
      <w:r w:rsidR="00A13832" w:rsidRPr="009552EB">
        <w:rPr>
          <w:sz w:val="24"/>
          <w:szCs w:val="24"/>
        </w:rPr>
        <w:t xml:space="preserve">– </w:t>
      </w:r>
      <w:r w:rsidR="00A13832">
        <w:rPr>
          <w:sz w:val="24"/>
          <w:szCs w:val="24"/>
        </w:rPr>
        <w:t>spadá</w:t>
      </w:r>
      <w:r w:rsidRPr="009552EB">
        <w:rPr>
          <w:sz w:val="24"/>
          <w:szCs w:val="24"/>
        </w:rPr>
        <w:t xml:space="preserve"> pod </w:t>
      </w:r>
      <w:r w:rsidR="00B73FF8">
        <w:rPr>
          <w:sz w:val="24"/>
          <w:szCs w:val="24"/>
        </w:rPr>
        <w:t>bytový odbor</w:t>
      </w:r>
      <w:r w:rsidRPr="009552EB">
        <w:rPr>
          <w:sz w:val="24"/>
          <w:szCs w:val="24"/>
        </w:rPr>
        <w:t xml:space="preserve"> </w:t>
      </w:r>
      <w:r w:rsidR="00A13832">
        <w:rPr>
          <w:sz w:val="24"/>
          <w:szCs w:val="24"/>
        </w:rPr>
        <w:t xml:space="preserve">- </w:t>
      </w:r>
      <w:r w:rsidRPr="009552EB">
        <w:rPr>
          <w:sz w:val="24"/>
          <w:szCs w:val="24"/>
        </w:rPr>
        <w:t xml:space="preserve">opravy nemovitostí, které neslouží k pronájmu, jsou financovány z hlavní činnosti. </w:t>
      </w:r>
      <w:r w:rsidR="00C33788">
        <w:rPr>
          <w:sz w:val="24"/>
          <w:szCs w:val="24"/>
        </w:rPr>
        <w:t xml:space="preserve">Jsou zde prostředky určené </w:t>
      </w:r>
      <w:r w:rsidR="00D42583">
        <w:rPr>
          <w:sz w:val="24"/>
          <w:szCs w:val="24"/>
        </w:rPr>
        <w:t xml:space="preserve">na </w:t>
      </w:r>
      <w:r w:rsidR="00783CBB">
        <w:rPr>
          <w:sz w:val="24"/>
          <w:szCs w:val="24"/>
        </w:rPr>
        <w:t>demolici budovy bývalé autoškoly</w:t>
      </w:r>
      <w:r w:rsidR="00AF03BD">
        <w:rPr>
          <w:sz w:val="24"/>
          <w:szCs w:val="24"/>
        </w:rPr>
        <w:t xml:space="preserve">. </w:t>
      </w:r>
    </w:p>
    <w:p w14:paraId="5CDA49CE" w14:textId="77777777" w:rsidR="004C4F48" w:rsidRPr="009552EB" w:rsidRDefault="004C4F48" w:rsidP="004C4F48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3632</w:t>
      </w:r>
      <w:r w:rsidRPr="009552EB">
        <w:rPr>
          <w:sz w:val="24"/>
          <w:szCs w:val="24"/>
        </w:rPr>
        <w:t xml:space="preserve"> </w:t>
      </w:r>
      <w:r w:rsidR="00A13832" w:rsidRPr="009552EB">
        <w:rPr>
          <w:sz w:val="24"/>
          <w:szCs w:val="24"/>
        </w:rPr>
        <w:t xml:space="preserve">– </w:t>
      </w:r>
      <w:r w:rsidR="00A13832">
        <w:rPr>
          <w:sz w:val="24"/>
          <w:szCs w:val="24"/>
        </w:rPr>
        <w:t xml:space="preserve">tvoří </w:t>
      </w:r>
      <w:r w:rsidRPr="009552EB">
        <w:rPr>
          <w:sz w:val="24"/>
          <w:szCs w:val="24"/>
        </w:rPr>
        <w:t xml:space="preserve">výdaje na sociální pohřby. </w:t>
      </w:r>
    </w:p>
    <w:p w14:paraId="3D4E550E" w14:textId="22A8AE56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15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09 – Vnitřní správa, běžné výdaje</w:t>
      </w:r>
    </w:p>
    <w:p w14:paraId="0121BF2D" w14:textId="2144958C" w:rsidR="00C05337" w:rsidRDefault="004E7FF8" w:rsidP="00867747">
      <w:pPr>
        <w:jc w:val="center"/>
      </w:pPr>
      <w:r w:rsidRPr="004E7FF8">
        <w:rPr>
          <w:noProof/>
        </w:rPr>
        <w:drawing>
          <wp:inline distT="0" distB="0" distL="0" distR="0" wp14:anchorId="5F29E01E" wp14:editId="6487CAF1">
            <wp:extent cx="5752381" cy="1076190"/>
            <wp:effectExtent l="0" t="0" r="1270" b="0"/>
            <wp:docPr id="19742893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28933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FC099" w14:textId="5EE060D3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4E7FF8">
        <w:rPr>
          <w:sz w:val="24"/>
          <w:szCs w:val="24"/>
        </w:rPr>
        <w:t>51 541 000</w:t>
      </w:r>
      <w:r w:rsidR="00654A7A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Kč.</w:t>
      </w:r>
    </w:p>
    <w:p w14:paraId="1F7C573F" w14:textId="77777777" w:rsidR="00867747" w:rsidRPr="009552EB" w:rsidRDefault="00867747" w:rsidP="00867747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§6112</w:t>
      </w:r>
      <w:r w:rsidRPr="009552EB">
        <w:rPr>
          <w:sz w:val="24"/>
          <w:szCs w:val="24"/>
        </w:rPr>
        <w:t xml:space="preserve"> </w:t>
      </w:r>
      <w:r w:rsidR="00A548C8">
        <w:rPr>
          <w:sz w:val="24"/>
          <w:szCs w:val="24"/>
        </w:rPr>
        <w:t>–</w:t>
      </w:r>
      <w:r w:rsidRPr="009552EB">
        <w:rPr>
          <w:sz w:val="24"/>
          <w:szCs w:val="24"/>
        </w:rPr>
        <w:t xml:space="preserve"> </w:t>
      </w:r>
      <w:r w:rsidR="00A548C8">
        <w:rPr>
          <w:sz w:val="24"/>
          <w:szCs w:val="24"/>
        </w:rPr>
        <w:t xml:space="preserve">tvoří </w:t>
      </w:r>
      <w:r w:rsidRPr="009552EB">
        <w:rPr>
          <w:sz w:val="24"/>
          <w:szCs w:val="24"/>
        </w:rPr>
        <w:t>výdaje na zastupitelstva obcí</w:t>
      </w:r>
      <w:r w:rsidR="00A548C8">
        <w:rPr>
          <w:sz w:val="24"/>
          <w:szCs w:val="24"/>
        </w:rPr>
        <w:t>.</w:t>
      </w:r>
    </w:p>
    <w:p w14:paraId="2B06E120" w14:textId="707301FA" w:rsidR="006D6F6B" w:rsidRDefault="00FE65DA" w:rsidP="00C33788">
      <w:pPr>
        <w:jc w:val="both"/>
        <w:rPr>
          <w:b/>
          <w:bCs/>
          <w:color w:val="4F81BD"/>
          <w:sz w:val="24"/>
          <w:szCs w:val="24"/>
        </w:rPr>
      </w:pPr>
      <w:r w:rsidRPr="009552EB">
        <w:rPr>
          <w:b/>
          <w:sz w:val="24"/>
          <w:szCs w:val="24"/>
        </w:rPr>
        <w:t>Oddíl § 6171</w:t>
      </w:r>
      <w:r w:rsidRPr="009552EB">
        <w:rPr>
          <w:sz w:val="24"/>
          <w:szCs w:val="24"/>
        </w:rPr>
        <w:t xml:space="preserve"> – zahrnuje veškeré výdaje související s činností vnitřní správy, respektive úřadu MČ </w:t>
      </w:r>
      <w:r w:rsidR="00A548C8">
        <w:rPr>
          <w:sz w:val="24"/>
          <w:szCs w:val="24"/>
        </w:rPr>
        <w:t>Praha-</w:t>
      </w:r>
      <w:r w:rsidRPr="009552EB">
        <w:rPr>
          <w:sz w:val="24"/>
          <w:szCs w:val="24"/>
        </w:rPr>
        <w:t>Čakovice. Velkou část tvoří mzdové náklady</w:t>
      </w:r>
      <w:r w:rsidR="004C4F48" w:rsidRPr="009552EB">
        <w:rPr>
          <w:sz w:val="24"/>
          <w:szCs w:val="24"/>
        </w:rPr>
        <w:t xml:space="preserve">, </w:t>
      </w:r>
      <w:r w:rsidRPr="009552EB">
        <w:rPr>
          <w:sz w:val="24"/>
          <w:szCs w:val="24"/>
        </w:rPr>
        <w:t xml:space="preserve">administrativní výdaje, </w:t>
      </w:r>
      <w:r w:rsidR="0062641F">
        <w:rPr>
          <w:sz w:val="24"/>
          <w:szCs w:val="24"/>
        </w:rPr>
        <w:t xml:space="preserve">právní služby, </w:t>
      </w:r>
      <w:r w:rsidRPr="009552EB">
        <w:rPr>
          <w:sz w:val="24"/>
          <w:szCs w:val="24"/>
        </w:rPr>
        <w:t xml:space="preserve">časopis MČ či softwarové a IT vybavení. </w:t>
      </w:r>
      <w:r w:rsidR="009D6ED9">
        <w:rPr>
          <w:sz w:val="24"/>
          <w:szCs w:val="24"/>
        </w:rPr>
        <w:t xml:space="preserve"> Součástí jsou </w:t>
      </w:r>
      <w:r w:rsidR="00292541">
        <w:rPr>
          <w:sz w:val="24"/>
          <w:szCs w:val="24"/>
        </w:rPr>
        <w:t xml:space="preserve">prostředky </w:t>
      </w:r>
      <w:r w:rsidR="009D6ED9">
        <w:rPr>
          <w:sz w:val="24"/>
          <w:szCs w:val="24"/>
        </w:rPr>
        <w:t>na part</w:t>
      </w:r>
      <w:r w:rsidR="00292541">
        <w:rPr>
          <w:sz w:val="24"/>
          <w:szCs w:val="24"/>
        </w:rPr>
        <w:t>i</w:t>
      </w:r>
      <w:r w:rsidR="009D6ED9">
        <w:rPr>
          <w:sz w:val="24"/>
          <w:szCs w:val="24"/>
        </w:rPr>
        <w:t>cipativní rozpočet ve výši 2,6 mil.</w:t>
      </w:r>
    </w:p>
    <w:p w14:paraId="41F74C8D" w14:textId="67056E53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16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10 – Pokladní správa, běžné výdaje</w:t>
      </w:r>
    </w:p>
    <w:p w14:paraId="4740851E" w14:textId="7EE4357D" w:rsidR="00FE65DA" w:rsidRPr="00C51834" w:rsidRDefault="00D5406B" w:rsidP="00D5406B">
      <w:pPr>
        <w:jc w:val="center"/>
      </w:pPr>
      <w:r w:rsidRPr="00D5406B">
        <w:rPr>
          <w:noProof/>
        </w:rPr>
        <w:lastRenderedPageBreak/>
        <w:drawing>
          <wp:inline distT="0" distB="0" distL="0" distR="0" wp14:anchorId="13E4FB0B" wp14:editId="527F8792">
            <wp:extent cx="5752381" cy="1495238"/>
            <wp:effectExtent l="0" t="0" r="1270" b="0"/>
            <wp:docPr id="2367284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28407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FA16C" w14:textId="26352795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C05337" w:rsidRPr="009552EB">
        <w:rPr>
          <w:sz w:val="24"/>
          <w:szCs w:val="24"/>
        </w:rPr>
        <w:t>e</w:t>
      </w:r>
      <w:r w:rsidR="00E84C19" w:rsidRPr="009552EB">
        <w:rPr>
          <w:sz w:val="24"/>
          <w:szCs w:val="24"/>
        </w:rPr>
        <w:t xml:space="preserve"> r</w:t>
      </w:r>
      <w:r w:rsidR="00352374" w:rsidRPr="009552EB">
        <w:rPr>
          <w:sz w:val="24"/>
          <w:szCs w:val="24"/>
        </w:rPr>
        <w:t xml:space="preserve">ozpočtována v celkové výši </w:t>
      </w:r>
      <w:r w:rsidR="00D5406B">
        <w:rPr>
          <w:sz w:val="24"/>
          <w:szCs w:val="24"/>
        </w:rPr>
        <w:t>8 570 000</w:t>
      </w:r>
      <w:r w:rsidRPr="009552EB">
        <w:rPr>
          <w:sz w:val="24"/>
          <w:szCs w:val="24"/>
        </w:rPr>
        <w:t xml:space="preserve"> Kč.</w:t>
      </w:r>
    </w:p>
    <w:p w14:paraId="512077B0" w14:textId="77777777" w:rsidR="007C6F63" w:rsidRDefault="00FE65DA" w:rsidP="003E47A3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Kapitola je tvořena vý</w:t>
      </w:r>
      <w:r w:rsidR="00722C5A">
        <w:rPr>
          <w:sz w:val="24"/>
          <w:szCs w:val="24"/>
        </w:rPr>
        <w:t xml:space="preserve">daji na povinné ručení vozidel </w:t>
      </w:r>
      <w:r w:rsidRPr="009552EB">
        <w:rPr>
          <w:sz w:val="24"/>
          <w:szCs w:val="24"/>
        </w:rPr>
        <w:t>a také finanční operace</w:t>
      </w:r>
      <w:r w:rsidR="008A21E9" w:rsidRPr="009552EB">
        <w:rPr>
          <w:sz w:val="24"/>
          <w:szCs w:val="24"/>
        </w:rPr>
        <w:t>.</w:t>
      </w:r>
      <w:r w:rsidR="00E84C19" w:rsidRPr="009552EB">
        <w:rPr>
          <w:sz w:val="24"/>
          <w:szCs w:val="24"/>
        </w:rPr>
        <w:t xml:space="preserve"> </w:t>
      </w:r>
      <w:r w:rsidR="00A014DF">
        <w:rPr>
          <w:sz w:val="24"/>
          <w:szCs w:val="24"/>
        </w:rPr>
        <w:t xml:space="preserve">Největší část tvoří splátka návratné finanční výpomoci ve výši 7 mil. Kč. Jedná se o NFV v délce 15ti let, která sloužila k revitalizaci bytového fondu. </w:t>
      </w:r>
      <w:bookmarkStart w:id="56" w:name="_Toc317112466"/>
      <w:bookmarkStart w:id="57" w:name="_Toc317113234"/>
      <w:bookmarkStart w:id="58" w:name="_Toc317117264"/>
      <w:bookmarkEnd w:id="56"/>
      <w:bookmarkEnd w:id="57"/>
      <w:bookmarkEnd w:id="58"/>
    </w:p>
    <w:p w14:paraId="659C7167" w14:textId="77777777" w:rsidR="006D6F6B" w:rsidRDefault="006D6F6B" w:rsidP="003E47A3">
      <w:pPr>
        <w:jc w:val="both"/>
        <w:rPr>
          <w:sz w:val="24"/>
          <w:szCs w:val="24"/>
        </w:rPr>
      </w:pPr>
    </w:p>
    <w:p w14:paraId="3DB76DC9" w14:textId="77777777" w:rsidR="00FE65DA" w:rsidRDefault="00FE65DA" w:rsidP="006A784A">
      <w:pPr>
        <w:pStyle w:val="Nadpis3"/>
        <w:jc w:val="both"/>
      </w:pPr>
      <w:bookmarkStart w:id="59" w:name="_Toc220164742"/>
      <w:r>
        <w:t>Kapitálové výdaje</w:t>
      </w:r>
      <w:bookmarkEnd w:id="59"/>
    </w:p>
    <w:p w14:paraId="40FB8B0A" w14:textId="4FD75378" w:rsidR="00B32D12" w:rsidRPr="009552EB" w:rsidRDefault="00B32D12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Ka</w:t>
      </w:r>
      <w:r w:rsidR="00C9031C" w:rsidRPr="009552EB">
        <w:rPr>
          <w:sz w:val="24"/>
          <w:szCs w:val="24"/>
        </w:rPr>
        <w:t>pitálové výdaje jsou pro rok 202</w:t>
      </w:r>
      <w:r w:rsidR="00653EB8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rozpočtovány ve výši </w:t>
      </w:r>
      <w:r w:rsidR="006C21CD">
        <w:rPr>
          <w:b/>
          <w:sz w:val="24"/>
          <w:szCs w:val="24"/>
        </w:rPr>
        <w:t>287 435 500</w:t>
      </w:r>
      <w:r w:rsidR="00FE0F8A">
        <w:rPr>
          <w:sz w:val="24"/>
          <w:szCs w:val="24"/>
        </w:rPr>
        <w:t xml:space="preserve"> </w:t>
      </w:r>
      <w:r w:rsidRPr="009552EB">
        <w:rPr>
          <w:b/>
          <w:sz w:val="24"/>
          <w:szCs w:val="24"/>
        </w:rPr>
        <w:t>Kč</w:t>
      </w:r>
    </w:p>
    <w:p w14:paraId="0D11E25E" w14:textId="208CB2F9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17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02</w:t>
      </w:r>
      <w:r w:rsidR="00CB6577">
        <w:rPr>
          <w:sz w:val="24"/>
          <w:szCs w:val="24"/>
        </w:rPr>
        <w:t xml:space="preserve"> a 03</w:t>
      </w:r>
      <w:r w:rsidRPr="009552EB">
        <w:rPr>
          <w:sz w:val="24"/>
          <w:szCs w:val="24"/>
        </w:rPr>
        <w:t xml:space="preserve"> – Městská infrastruktura, kapitálové výdaje</w:t>
      </w:r>
    </w:p>
    <w:p w14:paraId="0225DA90" w14:textId="5BB42D28" w:rsidR="00FE65DA" w:rsidRPr="00C51834" w:rsidRDefault="003900DA" w:rsidP="00590224">
      <w:pPr>
        <w:jc w:val="center"/>
      </w:pPr>
      <w:r w:rsidRPr="003900DA">
        <w:rPr>
          <w:noProof/>
        </w:rPr>
        <w:drawing>
          <wp:inline distT="0" distB="0" distL="0" distR="0" wp14:anchorId="2A354FDE" wp14:editId="5A45C68C">
            <wp:extent cx="5752381" cy="1780952"/>
            <wp:effectExtent l="0" t="0" r="1270" b="0"/>
            <wp:docPr id="9506121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612172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958BB" w14:textId="5E47D816" w:rsidR="006D6F6B" w:rsidRDefault="00FE65DA" w:rsidP="00E64D5A">
      <w:pPr>
        <w:jc w:val="both"/>
        <w:rPr>
          <w:b/>
          <w:bCs/>
          <w:color w:val="4F81BD"/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62641F">
        <w:rPr>
          <w:sz w:val="24"/>
          <w:szCs w:val="24"/>
        </w:rPr>
        <w:t>3</w:t>
      </w:r>
      <w:r w:rsidR="003900DA">
        <w:rPr>
          <w:sz w:val="24"/>
          <w:szCs w:val="24"/>
        </w:rPr>
        <w:t>3</w:t>
      </w:r>
      <w:r w:rsidR="00AE3C60">
        <w:rPr>
          <w:sz w:val="24"/>
          <w:szCs w:val="24"/>
        </w:rPr>
        <w:t> </w:t>
      </w:r>
      <w:r w:rsidR="003900DA">
        <w:rPr>
          <w:sz w:val="24"/>
          <w:szCs w:val="24"/>
        </w:rPr>
        <w:t>580</w:t>
      </w:r>
      <w:r w:rsidR="00AE3C60">
        <w:rPr>
          <w:sz w:val="24"/>
          <w:szCs w:val="24"/>
        </w:rPr>
        <w:t xml:space="preserve"> </w:t>
      </w:r>
      <w:r w:rsidR="0062641F">
        <w:rPr>
          <w:sz w:val="24"/>
          <w:szCs w:val="24"/>
        </w:rPr>
        <w:t>000</w:t>
      </w:r>
      <w:r w:rsidR="00B32D12" w:rsidRPr="009552EB">
        <w:rPr>
          <w:sz w:val="24"/>
          <w:szCs w:val="24"/>
        </w:rPr>
        <w:t xml:space="preserve"> Kč</w:t>
      </w:r>
      <w:r w:rsidR="00601C1C" w:rsidRPr="009552EB">
        <w:rPr>
          <w:sz w:val="24"/>
          <w:szCs w:val="24"/>
        </w:rPr>
        <w:t xml:space="preserve"> a </w:t>
      </w:r>
      <w:r w:rsidRPr="009552EB">
        <w:rPr>
          <w:sz w:val="24"/>
          <w:szCs w:val="24"/>
        </w:rPr>
        <w:t xml:space="preserve">zahrnuje položky na </w:t>
      </w:r>
      <w:r w:rsidR="00C05337" w:rsidRPr="009552EB">
        <w:rPr>
          <w:sz w:val="24"/>
          <w:szCs w:val="24"/>
        </w:rPr>
        <w:t>úpravu</w:t>
      </w:r>
      <w:r w:rsidRPr="009552EB">
        <w:rPr>
          <w:sz w:val="24"/>
          <w:szCs w:val="24"/>
        </w:rPr>
        <w:t xml:space="preserve"> </w:t>
      </w:r>
      <w:r w:rsidR="00C05337" w:rsidRPr="009552EB">
        <w:rPr>
          <w:sz w:val="24"/>
          <w:szCs w:val="24"/>
        </w:rPr>
        <w:t>zeleně</w:t>
      </w:r>
      <w:r w:rsidR="000F0D8C" w:rsidRPr="009552EB">
        <w:rPr>
          <w:sz w:val="24"/>
          <w:szCs w:val="24"/>
        </w:rPr>
        <w:t xml:space="preserve"> a rekonstrukci chodníků</w:t>
      </w:r>
      <w:r w:rsidR="0049668B" w:rsidRPr="009552EB">
        <w:rPr>
          <w:sz w:val="24"/>
          <w:szCs w:val="24"/>
        </w:rPr>
        <w:t xml:space="preserve">. </w:t>
      </w:r>
      <w:r w:rsidR="00225138">
        <w:rPr>
          <w:sz w:val="24"/>
          <w:szCs w:val="24"/>
        </w:rPr>
        <w:t xml:space="preserve">Výdaje zahrnují </w:t>
      </w:r>
      <w:r w:rsidR="0062641F">
        <w:rPr>
          <w:sz w:val="24"/>
          <w:szCs w:val="24"/>
        </w:rPr>
        <w:t xml:space="preserve">rekonstrukci ulice </w:t>
      </w:r>
      <w:r w:rsidR="00ED009F">
        <w:rPr>
          <w:sz w:val="24"/>
          <w:szCs w:val="24"/>
        </w:rPr>
        <w:t>Na Kačence</w:t>
      </w:r>
      <w:r w:rsidR="00DA2E1F">
        <w:rPr>
          <w:sz w:val="24"/>
          <w:szCs w:val="24"/>
        </w:rPr>
        <w:t xml:space="preserve">. </w:t>
      </w:r>
      <w:r w:rsidR="00AE3C60">
        <w:rPr>
          <w:sz w:val="24"/>
          <w:szCs w:val="24"/>
        </w:rPr>
        <w:t>V letošním roce plánujeme zahájit</w:t>
      </w:r>
      <w:r w:rsidR="00982121">
        <w:rPr>
          <w:sz w:val="24"/>
          <w:szCs w:val="24"/>
        </w:rPr>
        <w:t xml:space="preserve"> první fázi</w:t>
      </w:r>
      <w:r w:rsidR="00AE3C60">
        <w:rPr>
          <w:sz w:val="24"/>
          <w:szCs w:val="24"/>
        </w:rPr>
        <w:t xml:space="preserve"> investiční akc</w:t>
      </w:r>
      <w:r w:rsidR="00982121">
        <w:rPr>
          <w:sz w:val="24"/>
          <w:szCs w:val="24"/>
        </w:rPr>
        <w:t>e</w:t>
      </w:r>
      <w:r w:rsidR="00AE3C60">
        <w:rPr>
          <w:sz w:val="24"/>
          <w:szCs w:val="24"/>
        </w:rPr>
        <w:t xml:space="preserve"> </w:t>
      </w:r>
      <w:r w:rsidR="00982121">
        <w:rPr>
          <w:sz w:val="24"/>
          <w:szCs w:val="24"/>
        </w:rPr>
        <w:t xml:space="preserve">- </w:t>
      </w:r>
      <w:r w:rsidR="00AE3C60">
        <w:rPr>
          <w:sz w:val="24"/>
          <w:szCs w:val="24"/>
        </w:rPr>
        <w:t xml:space="preserve">předpolí hřbitova (7 mil. Kč). Na chodníky je v letošním roce alokováno 10 mil. Kč a v neposlední řadě </w:t>
      </w:r>
      <w:r w:rsidR="000126A1">
        <w:rPr>
          <w:sz w:val="24"/>
          <w:szCs w:val="24"/>
        </w:rPr>
        <w:t>bychom rádi realizovali dopravu v klidu v ulici U Párníků (3 mil. Kč)</w:t>
      </w:r>
      <w:r w:rsidR="00E64D5A">
        <w:rPr>
          <w:sz w:val="24"/>
          <w:szCs w:val="24"/>
        </w:rPr>
        <w:t>.</w:t>
      </w:r>
    </w:p>
    <w:p w14:paraId="088DDC31" w14:textId="344D4E0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18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04 – Školství, kapitálové výdaje</w:t>
      </w:r>
    </w:p>
    <w:p w14:paraId="79813E60" w14:textId="56CB0AAF" w:rsidR="00FE65DA" w:rsidRPr="00B73FF8" w:rsidRDefault="00007020" w:rsidP="00590224">
      <w:pPr>
        <w:jc w:val="center"/>
        <w:rPr>
          <w:b/>
        </w:rPr>
      </w:pPr>
      <w:r w:rsidRPr="00007020">
        <w:rPr>
          <w:noProof/>
        </w:rPr>
        <w:lastRenderedPageBreak/>
        <w:drawing>
          <wp:inline distT="0" distB="0" distL="0" distR="0" wp14:anchorId="4665CDD7" wp14:editId="4A968B05">
            <wp:extent cx="5752381" cy="1685714"/>
            <wp:effectExtent l="0" t="0" r="1270" b="0"/>
            <wp:docPr id="5068264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826464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2E434" w14:textId="77777777" w:rsidR="0051448A" w:rsidRPr="009552EB" w:rsidRDefault="0051448A" w:rsidP="0051448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3111</w:t>
      </w:r>
      <w:r w:rsidRPr="009552EB">
        <w:rPr>
          <w:sz w:val="24"/>
          <w:szCs w:val="24"/>
        </w:rPr>
        <w:t xml:space="preserve"> – představuje alokovanou částku </w:t>
      </w:r>
      <w:r w:rsidR="0062641F">
        <w:rPr>
          <w:sz w:val="24"/>
          <w:szCs w:val="24"/>
        </w:rPr>
        <w:t>rekonstrukce hrací plochy v MŠ II - Miškovice</w:t>
      </w:r>
    </w:p>
    <w:p w14:paraId="17399E7F" w14:textId="77777777" w:rsidR="0051448A" w:rsidRDefault="0051448A" w:rsidP="0051448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3113</w:t>
      </w:r>
      <w:r w:rsidRPr="009552EB">
        <w:rPr>
          <w:sz w:val="24"/>
          <w:szCs w:val="24"/>
        </w:rPr>
        <w:t xml:space="preserve"> – </w:t>
      </w:r>
      <w:r w:rsidR="007C6F63">
        <w:rPr>
          <w:sz w:val="24"/>
          <w:szCs w:val="24"/>
        </w:rPr>
        <w:t xml:space="preserve">je částka na probíhající </w:t>
      </w:r>
      <w:r w:rsidR="00A22752">
        <w:rPr>
          <w:sz w:val="24"/>
          <w:szCs w:val="24"/>
        </w:rPr>
        <w:t>stavbu školního kampusu.</w:t>
      </w:r>
    </w:p>
    <w:p w14:paraId="18822E81" w14:textId="77777777" w:rsidR="0062641F" w:rsidRDefault="0062641F" w:rsidP="0062641F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</w:t>
      </w:r>
      <w:r>
        <w:rPr>
          <w:b/>
          <w:sz w:val="24"/>
          <w:szCs w:val="24"/>
        </w:rPr>
        <w:t>21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>je částka na projektování rozšíření místního Gymnázia.</w:t>
      </w:r>
    </w:p>
    <w:p w14:paraId="553EBF76" w14:textId="437071E4" w:rsidR="00225138" w:rsidRPr="009552EB" w:rsidRDefault="00225138" w:rsidP="00225138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</w:t>
      </w:r>
      <w:r>
        <w:rPr>
          <w:b/>
          <w:sz w:val="24"/>
          <w:szCs w:val="24"/>
        </w:rPr>
        <w:t>41</w:t>
      </w:r>
      <w:r w:rsidR="0062641F">
        <w:rPr>
          <w:b/>
          <w:sz w:val="24"/>
          <w:szCs w:val="24"/>
        </w:rPr>
        <w:t>9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je částka </w:t>
      </w:r>
      <w:r w:rsidR="0062641F">
        <w:rPr>
          <w:sz w:val="24"/>
          <w:szCs w:val="24"/>
        </w:rPr>
        <w:t>určena na investice do sportovní infrastruktury</w:t>
      </w:r>
      <w:r w:rsidR="00031FEE">
        <w:rPr>
          <w:sz w:val="24"/>
          <w:szCs w:val="24"/>
        </w:rPr>
        <w:t xml:space="preserve">. Dokončení </w:t>
      </w:r>
      <w:r w:rsidR="00626126">
        <w:rPr>
          <w:sz w:val="24"/>
          <w:szCs w:val="24"/>
        </w:rPr>
        <w:t>výstavby OCR hřiště v ulici K Sedlišti.</w:t>
      </w:r>
    </w:p>
    <w:p w14:paraId="6343FF56" w14:textId="63058CDE" w:rsidR="00E9089B" w:rsidRPr="009552EB" w:rsidRDefault="00E9089B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19</w:t>
      </w:r>
      <w:r w:rsidR="00B2065D" w:rsidRPr="009552EB">
        <w:rPr>
          <w:sz w:val="24"/>
          <w:szCs w:val="24"/>
        </w:rPr>
        <w:fldChar w:fldCharType="end"/>
      </w:r>
      <w:r w:rsidR="003467BA" w:rsidRPr="009552EB">
        <w:rPr>
          <w:sz w:val="24"/>
          <w:szCs w:val="24"/>
        </w:rPr>
        <w:t xml:space="preserve"> Kapitola 05</w:t>
      </w:r>
      <w:r w:rsidRPr="009552EB">
        <w:rPr>
          <w:sz w:val="24"/>
          <w:szCs w:val="24"/>
        </w:rPr>
        <w:t xml:space="preserve"> – Zdravotnictví a sociální péče</w:t>
      </w:r>
      <w:r w:rsidR="00462CB2">
        <w:rPr>
          <w:sz w:val="24"/>
          <w:szCs w:val="24"/>
        </w:rPr>
        <w:t>, kapitálo</w:t>
      </w:r>
      <w:r w:rsidR="00FC6EA7">
        <w:rPr>
          <w:sz w:val="24"/>
          <w:szCs w:val="24"/>
        </w:rPr>
        <w:t>vé výdaje</w:t>
      </w:r>
    </w:p>
    <w:p w14:paraId="42A76E8B" w14:textId="0967D6AC" w:rsidR="00E9089B" w:rsidRDefault="002538F3" w:rsidP="00590224">
      <w:pPr>
        <w:pStyle w:val="Titulek"/>
        <w:jc w:val="center"/>
      </w:pPr>
      <w:r w:rsidRPr="002538F3">
        <w:rPr>
          <w:noProof/>
        </w:rPr>
        <w:drawing>
          <wp:inline distT="0" distB="0" distL="0" distR="0" wp14:anchorId="6FA342AC" wp14:editId="6541B78B">
            <wp:extent cx="5752381" cy="866667"/>
            <wp:effectExtent l="0" t="0" r="1270" b="0"/>
            <wp:docPr id="323712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1237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9E58" w14:textId="4D71EC4C" w:rsidR="002C45B0" w:rsidRDefault="002C45B0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V této kapitole jsou určeny prostředky na </w:t>
      </w:r>
      <w:r w:rsidR="003A0916">
        <w:rPr>
          <w:sz w:val="24"/>
          <w:szCs w:val="24"/>
        </w:rPr>
        <w:t>financování výstavbu zdravotnického domu</w:t>
      </w:r>
      <w:r w:rsidRPr="009552EB">
        <w:rPr>
          <w:sz w:val="24"/>
          <w:szCs w:val="24"/>
        </w:rPr>
        <w:t xml:space="preserve"> v Petříkově ulici. </w:t>
      </w:r>
    </w:p>
    <w:p w14:paraId="78EF5342" w14:textId="26750A84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="00590224"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20</w:t>
      </w:r>
      <w:r w:rsidR="00B2065D" w:rsidRPr="009552EB">
        <w:rPr>
          <w:sz w:val="24"/>
          <w:szCs w:val="24"/>
        </w:rPr>
        <w:fldChar w:fldCharType="end"/>
      </w:r>
      <w:r w:rsidR="00590224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 xml:space="preserve">Kapitola 07 </w:t>
      </w:r>
      <w:r w:rsidR="00FC6EA7">
        <w:rPr>
          <w:sz w:val="24"/>
          <w:szCs w:val="24"/>
        </w:rPr>
        <w:t>–</w:t>
      </w:r>
      <w:r w:rsidRPr="009552EB">
        <w:rPr>
          <w:sz w:val="24"/>
          <w:szCs w:val="24"/>
        </w:rPr>
        <w:t xml:space="preserve"> Bezpečnost</w:t>
      </w:r>
      <w:r w:rsidR="00FC6EA7">
        <w:rPr>
          <w:sz w:val="24"/>
          <w:szCs w:val="24"/>
        </w:rPr>
        <w:t>, kapitálové výdaje</w:t>
      </w:r>
    </w:p>
    <w:p w14:paraId="1059FB26" w14:textId="30894A59" w:rsidR="00FE65DA" w:rsidRPr="00C51834" w:rsidRDefault="00E64D5A" w:rsidP="00590224">
      <w:pPr>
        <w:jc w:val="center"/>
      </w:pPr>
      <w:r w:rsidRPr="00E64D5A">
        <w:rPr>
          <w:noProof/>
        </w:rPr>
        <w:drawing>
          <wp:inline distT="0" distB="0" distL="0" distR="0" wp14:anchorId="1DF5FED8" wp14:editId="013E5507">
            <wp:extent cx="5752381" cy="866667"/>
            <wp:effectExtent l="0" t="0" r="1270" b="0"/>
            <wp:docPr id="18857341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734122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0A543" w14:textId="07E027D3" w:rsidR="00225138" w:rsidRDefault="005A4E6A" w:rsidP="00E64D5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5311</w:t>
      </w:r>
      <w:r w:rsidR="00D85B89">
        <w:rPr>
          <w:sz w:val="24"/>
          <w:szCs w:val="24"/>
        </w:rPr>
        <w:t xml:space="preserve"> </w:t>
      </w:r>
      <w:r w:rsidR="00D85B89" w:rsidRPr="009552EB">
        <w:rPr>
          <w:sz w:val="24"/>
          <w:szCs w:val="24"/>
        </w:rPr>
        <w:t>–</w:t>
      </w:r>
      <w:r w:rsidR="00D85B89">
        <w:rPr>
          <w:sz w:val="24"/>
          <w:szCs w:val="24"/>
        </w:rPr>
        <w:t xml:space="preserve"> V</w:t>
      </w:r>
      <w:r w:rsidRPr="009552EB">
        <w:rPr>
          <w:sz w:val="24"/>
          <w:szCs w:val="24"/>
        </w:rPr>
        <w:t xml:space="preserve"> rámci tohoto ODPA jsou alokovány prostředky na </w:t>
      </w:r>
      <w:r w:rsidR="001D7609">
        <w:rPr>
          <w:sz w:val="24"/>
          <w:szCs w:val="24"/>
        </w:rPr>
        <w:t xml:space="preserve">další </w:t>
      </w:r>
      <w:r w:rsidRPr="009552EB">
        <w:rPr>
          <w:sz w:val="24"/>
          <w:szCs w:val="24"/>
        </w:rPr>
        <w:t>f</w:t>
      </w:r>
      <w:r w:rsidR="006F124C">
        <w:rPr>
          <w:sz w:val="24"/>
          <w:szCs w:val="24"/>
        </w:rPr>
        <w:t>áz</w:t>
      </w:r>
      <w:r w:rsidR="0062641F">
        <w:rPr>
          <w:sz w:val="24"/>
          <w:szCs w:val="24"/>
        </w:rPr>
        <w:t xml:space="preserve">i kamerového systému ve výši </w:t>
      </w:r>
      <w:r w:rsidR="002538F3">
        <w:rPr>
          <w:sz w:val="24"/>
          <w:szCs w:val="24"/>
        </w:rPr>
        <w:t>1 500 000</w:t>
      </w:r>
      <w:r w:rsidR="00F7750B">
        <w:rPr>
          <w:sz w:val="24"/>
          <w:szCs w:val="24"/>
        </w:rPr>
        <w:t xml:space="preserve"> Kč. </w:t>
      </w:r>
    </w:p>
    <w:p w14:paraId="0C10C200" w14:textId="0CA7219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21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</w:t>
      </w:r>
      <w:r w:rsidR="00F7750B">
        <w:rPr>
          <w:sz w:val="24"/>
          <w:szCs w:val="24"/>
        </w:rPr>
        <w:t>8</w:t>
      </w:r>
      <w:r w:rsidRPr="009552EB">
        <w:rPr>
          <w:sz w:val="24"/>
          <w:szCs w:val="24"/>
        </w:rPr>
        <w:t xml:space="preserve"> – </w:t>
      </w:r>
      <w:r w:rsidR="00F7750B">
        <w:rPr>
          <w:sz w:val="24"/>
          <w:szCs w:val="24"/>
        </w:rPr>
        <w:t>Hospodářství</w:t>
      </w:r>
      <w:r w:rsidR="00FC6EA7">
        <w:rPr>
          <w:sz w:val="24"/>
          <w:szCs w:val="24"/>
        </w:rPr>
        <w:t>, kapitálové výdaje</w:t>
      </w:r>
    </w:p>
    <w:p w14:paraId="12F684B5" w14:textId="2F266AC7" w:rsidR="00FE65DA" w:rsidRDefault="00007EFE" w:rsidP="00590224">
      <w:pPr>
        <w:jc w:val="center"/>
      </w:pPr>
      <w:r w:rsidRPr="00007EFE">
        <w:rPr>
          <w:noProof/>
        </w:rPr>
        <w:drawing>
          <wp:inline distT="0" distB="0" distL="0" distR="0" wp14:anchorId="6FDB10C2" wp14:editId="421ED2B8">
            <wp:extent cx="5752381" cy="866667"/>
            <wp:effectExtent l="0" t="0" r="1270" b="0"/>
            <wp:docPr id="5845460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546032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DCBA7" w14:textId="77777777" w:rsidR="005C14FB" w:rsidRDefault="00F7750B" w:rsidP="006A78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Oddíl § 361</w:t>
      </w:r>
      <w:r w:rsidR="00225138">
        <w:rPr>
          <w:b/>
          <w:sz w:val="24"/>
          <w:szCs w:val="24"/>
        </w:rPr>
        <w:t>2</w:t>
      </w:r>
      <w:r w:rsidR="005C14FB" w:rsidRPr="009552EB">
        <w:rPr>
          <w:sz w:val="24"/>
          <w:szCs w:val="24"/>
        </w:rPr>
        <w:t xml:space="preserve"> </w:t>
      </w:r>
      <w:r w:rsidR="00D85B89" w:rsidRPr="009552EB">
        <w:rPr>
          <w:sz w:val="24"/>
          <w:szCs w:val="24"/>
        </w:rPr>
        <w:t>–</w:t>
      </w:r>
      <w:r w:rsidR="00D85B89">
        <w:rPr>
          <w:sz w:val="24"/>
          <w:szCs w:val="24"/>
        </w:rPr>
        <w:t xml:space="preserve"> </w:t>
      </w:r>
      <w:r w:rsidR="006F124C">
        <w:rPr>
          <w:sz w:val="24"/>
          <w:szCs w:val="24"/>
        </w:rPr>
        <w:t xml:space="preserve">Jedná se o výdaje související </w:t>
      </w:r>
      <w:r w:rsidR="00722C5A">
        <w:rPr>
          <w:sz w:val="24"/>
          <w:szCs w:val="24"/>
        </w:rPr>
        <w:t xml:space="preserve">s </w:t>
      </w:r>
      <w:r w:rsidR="0062641F">
        <w:rPr>
          <w:sz w:val="24"/>
          <w:szCs w:val="24"/>
        </w:rPr>
        <w:t>plánovanou výměnou oken v bytovém domě</w:t>
      </w:r>
      <w:r w:rsidR="006F124C">
        <w:rPr>
          <w:sz w:val="24"/>
          <w:szCs w:val="24"/>
        </w:rPr>
        <w:t>.</w:t>
      </w:r>
    </w:p>
    <w:p w14:paraId="7B3BF0BE" w14:textId="7398155A" w:rsidR="00F7750B" w:rsidRDefault="00F7750B" w:rsidP="00F7750B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Pr="009552EB">
        <w:rPr>
          <w:sz w:val="24"/>
          <w:szCs w:val="24"/>
        </w:rPr>
        <w:fldChar w:fldCharType="separate"/>
      </w:r>
      <w:r w:rsidR="00B61C6B">
        <w:rPr>
          <w:noProof/>
          <w:sz w:val="24"/>
          <w:szCs w:val="24"/>
        </w:rPr>
        <w:t>22</w:t>
      </w:r>
      <w:r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</w:t>
      </w:r>
      <w:r>
        <w:rPr>
          <w:sz w:val="24"/>
          <w:szCs w:val="24"/>
        </w:rPr>
        <w:t>9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>Vnitřní správa</w:t>
      </w:r>
      <w:r w:rsidR="00FC6EA7">
        <w:rPr>
          <w:sz w:val="24"/>
          <w:szCs w:val="24"/>
        </w:rPr>
        <w:t>, kapitálové výdaje</w:t>
      </w:r>
    </w:p>
    <w:tbl>
      <w:tblPr>
        <w:tblW w:w="93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4142"/>
        <w:gridCol w:w="3724"/>
      </w:tblGrid>
      <w:tr w:rsidR="007B3210" w:rsidRPr="007B3210" w14:paraId="7CAFE2B0" w14:textId="77777777" w:rsidTr="007B3210">
        <w:trPr>
          <w:trHeight w:val="497"/>
        </w:trPr>
        <w:tc>
          <w:tcPr>
            <w:tcW w:w="93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800080" w:fill="800080"/>
            <w:noWrap/>
            <w:vAlign w:val="bottom"/>
            <w:hideMark/>
          </w:tcPr>
          <w:p w14:paraId="7CAFBB43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7B3210">
              <w:rPr>
                <w:rFonts w:cs="Calibri"/>
                <w:b/>
                <w:bCs/>
                <w:color w:val="FFFFFF"/>
                <w:sz w:val="18"/>
                <w:szCs w:val="18"/>
              </w:rPr>
              <w:t>09. VNITŘNÍ SPRÁVA</w:t>
            </w:r>
          </w:p>
        </w:tc>
      </w:tr>
      <w:tr w:rsidR="007B3210" w:rsidRPr="007B3210" w14:paraId="47847FEF" w14:textId="77777777" w:rsidTr="007B3210">
        <w:trPr>
          <w:trHeight w:val="497"/>
        </w:trPr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9862C4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22"/>
                <w:szCs w:val="22"/>
              </w:rPr>
            </w:pPr>
            <w:r w:rsidRPr="007B3210">
              <w:rPr>
                <w:rFonts w:cs="Calibri"/>
                <w:b/>
                <w:bCs/>
                <w:i/>
                <w:iCs/>
                <w:sz w:val="22"/>
                <w:szCs w:val="22"/>
              </w:rPr>
              <w:t>oddíl §</w:t>
            </w: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B11B12D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22"/>
                <w:szCs w:val="22"/>
              </w:rPr>
            </w:pPr>
            <w:r w:rsidRPr="007B3210">
              <w:rPr>
                <w:rFonts w:cs="Calibri"/>
                <w:b/>
                <w:bCs/>
                <w:i/>
                <w:iCs/>
                <w:sz w:val="22"/>
                <w:szCs w:val="22"/>
              </w:rPr>
              <w:t>Název položky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center"/>
            <w:hideMark/>
          </w:tcPr>
          <w:p w14:paraId="60C6D920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i/>
                <w:iCs/>
                <w:sz w:val="22"/>
                <w:szCs w:val="22"/>
              </w:rPr>
            </w:pPr>
            <w:r w:rsidRPr="007B3210">
              <w:rPr>
                <w:rFonts w:cs="Calibri"/>
                <w:b/>
                <w:bCs/>
                <w:i/>
                <w:iCs/>
                <w:sz w:val="22"/>
                <w:szCs w:val="22"/>
              </w:rPr>
              <w:t>RU 2026</w:t>
            </w:r>
          </w:p>
        </w:tc>
      </w:tr>
      <w:tr w:rsidR="007B3210" w:rsidRPr="007B3210" w14:paraId="66FF94DC" w14:textId="77777777" w:rsidTr="007B3210">
        <w:trPr>
          <w:trHeight w:val="526"/>
        </w:trPr>
        <w:tc>
          <w:tcPr>
            <w:tcW w:w="1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CF76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sz w:val="22"/>
                <w:szCs w:val="22"/>
              </w:rPr>
            </w:pPr>
            <w:r w:rsidRPr="007B3210">
              <w:rPr>
                <w:rFonts w:cs="Calibri"/>
                <w:sz w:val="22"/>
                <w:szCs w:val="22"/>
              </w:rPr>
              <w:t>6171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C153" w14:textId="77777777" w:rsidR="007B3210" w:rsidRPr="007B3210" w:rsidRDefault="007B3210" w:rsidP="007B3210">
            <w:pPr>
              <w:spacing w:before="0" w:after="0" w:line="240" w:lineRule="auto"/>
              <w:rPr>
                <w:rFonts w:cs="Calibri"/>
                <w:sz w:val="22"/>
                <w:szCs w:val="22"/>
              </w:rPr>
            </w:pPr>
            <w:r w:rsidRPr="007B3210">
              <w:rPr>
                <w:rFonts w:cs="Calibri"/>
                <w:sz w:val="22"/>
                <w:szCs w:val="22"/>
              </w:rPr>
              <w:t>úřad - projekty a investice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876BA" w14:textId="77777777" w:rsidR="007B3210" w:rsidRPr="007B3210" w:rsidRDefault="007B3210" w:rsidP="007B3210">
            <w:pPr>
              <w:spacing w:before="0" w:after="0" w:line="240" w:lineRule="auto"/>
              <w:ind w:firstLineChars="100" w:firstLine="220"/>
              <w:jc w:val="right"/>
              <w:rPr>
                <w:rFonts w:cs="Calibri"/>
                <w:sz w:val="22"/>
                <w:szCs w:val="22"/>
              </w:rPr>
            </w:pPr>
            <w:r w:rsidRPr="007B3210">
              <w:rPr>
                <w:rFonts w:cs="Calibri"/>
                <w:sz w:val="22"/>
                <w:szCs w:val="22"/>
              </w:rPr>
              <w:t>14 934 000,00</w:t>
            </w:r>
          </w:p>
        </w:tc>
      </w:tr>
      <w:tr w:rsidR="007B3210" w:rsidRPr="007B3210" w14:paraId="4EDD91D5" w14:textId="77777777" w:rsidTr="007B3210">
        <w:trPr>
          <w:trHeight w:val="526"/>
        </w:trPr>
        <w:tc>
          <w:tcPr>
            <w:tcW w:w="5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75FEAD36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7B3210">
              <w:rPr>
                <w:rFonts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3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4647E308" w14:textId="77777777" w:rsidR="007B3210" w:rsidRPr="007B3210" w:rsidRDefault="007B3210" w:rsidP="007B3210">
            <w:pPr>
              <w:spacing w:before="0" w:after="0" w:line="240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7B3210">
              <w:rPr>
                <w:rFonts w:cs="Calibri"/>
                <w:b/>
                <w:bCs/>
                <w:sz w:val="22"/>
                <w:szCs w:val="22"/>
              </w:rPr>
              <w:t xml:space="preserve">           14 934 000,00 Kč </w:t>
            </w:r>
          </w:p>
        </w:tc>
      </w:tr>
    </w:tbl>
    <w:p w14:paraId="71661606" w14:textId="77777777" w:rsidR="007B3210" w:rsidRPr="007B3210" w:rsidRDefault="007B3210" w:rsidP="007B3210"/>
    <w:p w14:paraId="458FB3B7" w14:textId="4BE35BA6" w:rsidR="00F7750B" w:rsidRPr="009552EB" w:rsidRDefault="00F7750B" w:rsidP="00A014DF">
      <w:pPr>
        <w:jc w:val="center"/>
        <w:rPr>
          <w:sz w:val="24"/>
          <w:szCs w:val="24"/>
        </w:rPr>
      </w:pPr>
    </w:p>
    <w:p w14:paraId="34EE55B6" w14:textId="0E118AEA" w:rsidR="007C6F63" w:rsidRDefault="00F7750B" w:rsidP="00462CB2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6171</w:t>
      </w:r>
      <w:r w:rsidRPr="009552EB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462CB2" w:rsidRPr="009552EB">
        <w:rPr>
          <w:sz w:val="24"/>
          <w:szCs w:val="24"/>
        </w:rPr>
        <w:t>Jedná se o položku, která představuje plánované prostředky na různé projekty a případné investice (</w:t>
      </w:r>
      <w:r w:rsidR="000F678B">
        <w:rPr>
          <w:sz w:val="24"/>
          <w:szCs w:val="24"/>
        </w:rPr>
        <w:t>13</w:t>
      </w:r>
      <w:r w:rsidR="00462CB2" w:rsidRPr="009552EB">
        <w:rPr>
          <w:sz w:val="24"/>
          <w:szCs w:val="24"/>
        </w:rPr>
        <w:t xml:space="preserve"> mil. Kč)</w:t>
      </w:r>
      <w:r w:rsidR="00225138">
        <w:rPr>
          <w:sz w:val="24"/>
          <w:szCs w:val="24"/>
        </w:rPr>
        <w:t xml:space="preserve">. </w:t>
      </w:r>
    </w:p>
    <w:p w14:paraId="08CED9E5" w14:textId="77777777" w:rsidR="006B3C80" w:rsidRPr="009552EB" w:rsidRDefault="006B3C80" w:rsidP="00462CB2">
      <w:pPr>
        <w:jc w:val="both"/>
        <w:rPr>
          <w:sz w:val="24"/>
          <w:szCs w:val="24"/>
        </w:rPr>
      </w:pPr>
    </w:p>
    <w:p w14:paraId="365B05FA" w14:textId="5CE2869A" w:rsidR="00835071" w:rsidRDefault="00835071" w:rsidP="00835071">
      <w:pPr>
        <w:pStyle w:val="Nadpis3"/>
      </w:pPr>
      <w:bookmarkStart w:id="60" w:name="_Toc220164743"/>
      <w:r>
        <w:t>Zaměstnanecký fond</w:t>
      </w:r>
      <w:bookmarkEnd w:id="60"/>
    </w:p>
    <w:p w14:paraId="0F35E4EA" w14:textId="5E9AAFBD" w:rsidR="003A10A2" w:rsidRDefault="00835071" w:rsidP="001673E9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Zam</w:t>
      </w:r>
      <w:r w:rsidR="00EA2D01">
        <w:rPr>
          <w:sz w:val="24"/>
          <w:szCs w:val="24"/>
        </w:rPr>
        <w:t>ěstnanecký fond bude v roce 202</w:t>
      </w:r>
      <w:r w:rsidR="00653EB8">
        <w:rPr>
          <w:sz w:val="24"/>
          <w:szCs w:val="24"/>
        </w:rPr>
        <w:t>6</w:t>
      </w:r>
      <w:r w:rsidRPr="009552EB">
        <w:rPr>
          <w:sz w:val="24"/>
          <w:szCs w:val="24"/>
        </w:rPr>
        <w:t xml:space="preserve"> tvořen 7 % z mezd.</w:t>
      </w:r>
      <w:r w:rsidR="003A10A2">
        <w:rPr>
          <w:sz w:val="24"/>
          <w:szCs w:val="24"/>
        </w:rPr>
        <w:br w:type="page"/>
      </w:r>
    </w:p>
    <w:p w14:paraId="219BA5F9" w14:textId="77777777" w:rsidR="00FE65DA" w:rsidRDefault="00FE65DA" w:rsidP="006A784A">
      <w:pPr>
        <w:pStyle w:val="Nadpis2"/>
        <w:jc w:val="both"/>
      </w:pPr>
      <w:bookmarkStart w:id="61" w:name="_Toc317112468"/>
      <w:bookmarkStart w:id="62" w:name="_Toc317113236"/>
      <w:bookmarkStart w:id="63" w:name="_Toc317117266"/>
      <w:bookmarkStart w:id="64" w:name="_Toc220164744"/>
      <w:bookmarkEnd w:id="61"/>
      <w:bookmarkEnd w:id="62"/>
      <w:bookmarkEnd w:id="63"/>
      <w:r>
        <w:lastRenderedPageBreak/>
        <w:t>Vedlejší hospodářská činnost</w:t>
      </w:r>
      <w:bookmarkEnd w:id="64"/>
    </w:p>
    <w:p w14:paraId="6B3B0770" w14:textId="5CC4E1AF" w:rsidR="00C4319E" w:rsidRPr="00C4319E" w:rsidRDefault="00C4319E" w:rsidP="00C4319E">
      <w:pPr>
        <w:pStyle w:val="Titulek"/>
        <w:jc w:val="both"/>
        <w:rPr>
          <w:sz w:val="24"/>
          <w:szCs w:val="24"/>
        </w:rPr>
      </w:pPr>
      <w:r w:rsidRPr="00C4319E">
        <w:rPr>
          <w:sz w:val="24"/>
          <w:szCs w:val="24"/>
        </w:rPr>
        <w:t>Tabulka 2</w:t>
      </w:r>
      <w:r w:rsidR="00807680">
        <w:rPr>
          <w:sz w:val="24"/>
          <w:szCs w:val="24"/>
        </w:rPr>
        <w:t>5</w:t>
      </w:r>
      <w:r w:rsidR="001B170C">
        <w:rPr>
          <w:sz w:val="24"/>
          <w:szCs w:val="24"/>
        </w:rPr>
        <w:t xml:space="preserve"> Návrh rozpočtu VHČ pro rok 202</w:t>
      </w:r>
      <w:r w:rsidR="00653EB8">
        <w:rPr>
          <w:sz w:val="24"/>
          <w:szCs w:val="24"/>
        </w:rPr>
        <w:t>6</w:t>
      </w:r>
    </w:p>
    <w:p w14:paraId="5299468D" w14:textId="3B96F918" w:rsidR="00C4319E" w:rsidRPr="00C4319E" w:rsidRDefault="000669BF" w:rsidP="000669BF">
      <w:pPr>
        <w:jc w:val="center"/>
      </w:pPr>
      <w:r w:rsidRPr="000669BF">
        <w:rPr>
          <w:noProof/>
        </w:rPr>
        <w:drawing>
          <wp:inline distT="0" distB="0" distL="0" distR="0" wp14:anchorId="29DEEAC8" wp14:editId="67E1C50F">
            <wp:extent cx="5085714" cy="6276190"/>
            <wp:effectExtent l="0" t="0" r="1270" b="0"/>
            <wp:docPr id="12329106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10616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085714" cy="6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47A98" w14:textId="5B21105C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Vedlejší hospodářskou činností je činnost</w:t>
      </w:r>
      <w:r w:rsidR="00D85B89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vykonáv</w:t>
      </w:r>
      <w:r w:rsidR="00D85B89">
        <w:rPr>
          <w:sz w:val="24"/>
          <w:szCs w:val="24"/>
        </w:rPr>
        <w:t>aná</w:t>
      </w:r>
      <w:r w:rsidR="00F53AA0" w:rsidRPr="009552EB">
        <w:rPr>
          <w:sz w:val="24"/>
          <w:szCs w:val="24"/>
        </w:rPr>
        <w:t xml:space="preserve"> úřad</w:t>
      </w:r>
      <w:r w:rsidR="00D85B89">
        <w:rPr>
          <w:sz w:val="24"/>
          <w:szCs w:val="24"/>
        </w:rPr>
        <w:t>em</w:t>
      </w:r>
      <w:r w:rsidR="00F53AA0" w:rsidRPr="009552EB">
        <w:rPr>
          <w:sz w:val="24"/>
          <w:szCs w:val="24"/>
        </w:rPr>
        <w:t xml:space="preserve"> na území dané obce</w:t>
      </w:r>
      <w:r w:rsidR="00D85B89">
        <w:rPr>
          <w:sz w:val="24"/>
          <w:szCs w:val="24"/>
        </w:rPr>
        <w:t>.</w:t>
      </w:r>
      <w:r w:rsidR="00F53AA0" w:rsidRPr="009552EB">
        <w:rPr>
          <w:sz w:val="24"/>
          <w:szCs w:val="24"/>
        </w:rPr>
        <w:t xml:space="preserve"> </w:t>
      </w:r>
      <w:r w:rsidR="00D85B89">
        <w:rPr>
          <w:sz w:val="24"/>
          <w:szCs w:val="24"/>
        </w:rPr>
        <w:t>M</w:t>
      </w:r>
      <w:r w:rsidRPr="009552EB">
        <w:rPr>
          <w:sz w:val="24"/>
          <w:szCs w:val="24"/>
        </w:rPr>
        <w:t>usí být vykonávána mimo činnost hlavní a jso</w:t>
      </w:r>
      <w:r w:rsidR="00C9031C" w:rsidRPr="009552EB">
        <w:rPr>
          <w:sz w:val="24"/>
          <w:szCs w:val="24"/>
        </w:rPr>
        <w:t>u</w:t>
      </w:r>
      <w:r w:rsidR="00A014DF">
        <w:rPr>
          <w:sz w:val="24"/>
          <w:szCs w:val="24"/>
        </w:rPr>
        <w:t xml:space="preserve"> z</w:t>
      </w:r>
      <w:r w:rsidR="001B170C">
        <w:rPr>
          <w:sz w:val="24"/>
          <w:szCs w:val="24"/>
        </w:rPr>
        <w:t> ní placeny daně. Pro rok 202</w:t>
      </w:r>
      <w:r w:rsidR="00653EB8">
        <w:rPr>
          <w:sz w:val="24"/>
          <w:szCs w:val="24"/>
        </w:rPr>
        <w:t>6</w:t>
      </w:r>
      <w:r w:rsidR="00E9089B" w:rsidRPr="009552EB">
        <w:rPr>
          <w:sz w:val="24"/>
          <w:szCs w:val="24"/>
        </w:rPr>
        <w:t xml:space="preserve"> se plánují příjmy ve</w:t>
      </w:r>
      <w:r w:rsidR="00D85B89">
        <w:rPr>
          <w:sz w:val="24"/>
          <w:szCs w:val="24"/>
        </w:rPr>
        <w:t> </w:t>
      </w:r>
      <w:r w:rsidR="00E9089B" w:rsidRPr="009552EB">
        <w:rPr>
          <w:sz w:val="24"/>
          <w:szCs w:val="24"/>
        </w:rPr>
        <w:t>výši</w:t>
      </w:r>
      <w:r w:rsidR="00D85B89">
        <w:rPr>
          <w:sz w:val="24"/>
          <w:szCs w:val="24"/>
        </w:rPr>
        <w:t> </w:t>
      </w:r>
      <w:r w:rsidR="000669BF">
        <w:rPr>
          <w:sz w:val="24"/>
          <w:szCs w:val="24"/>
        </w:rPr>
        <w:t xml:space="preserve">  51 820</w:t>
      </w:r>
      <w:r w:rsidR="003414C2">
        <w:rPr>
          <w:sz w:val="24"/>
          <w:szCs w:val="24"/>
        </w:rPr>
        <w:t xml:space="preserve"> 000</w:t>
      </w:r>
      <w:r w:rsidRPr="009552EB">
        <w:rPr>
          <w:sz w:val="24"/>
          <w:szCs w:val="24"/>
        </w:rPr>
        <w:t xml:space="preserve"> Kč. Hlavní část tvoří </w:t>
      </w:r>
      <w:r w:rsidR="006B019C" w:rsidRPr="009552EB">
        <w:rPr>
          <w:sz w:val="24"/>
          <w:szCs w:val="24"/>
        </w:rPr>
        <w:t>především</w:t>
      </w:r>
      <w:r w:rsidRPr="009552EB">
        <w:rPr>
          <w:sz w:val="24"/>
          <w:szCs w:val="24"/>
        </w:rPr>
        <w:t xml:space="preserve"> příjmy z nájmu bytových, nebytových prostor a pozemků. Příjem z pronájmu sportovní haly není možné definovat přesně, proto j</w:t>
      </w:r>
      <w:r w:rsidR="005314B5" w:rsidRPr="009552EB">
        <w:rPr>
          <w:sz w:val="24"/>
          <w:szCs w:val="24"/>
        </w:rPr>
        <w:t>e alokován v nahodilých příjmech. Součástí je i financování HČ prostřednictvím uvolnění finančních prostředků na účtech VHČ.</w:t>
      </w:r>
    </w:p>
    <w:p w14:paraId="414FFE39" w14:textId="77777777" w:rsidR="00FE65DA" w:rsidRPr="009552EB" w:rsidRDefault="00FE65DA" w:rsidP="006A784A">
      <w:pPr>
        <w:jc w:val="both"/>
        <w:rPr>
          <w:strike/>
          <w:color w:val="FF0000"/>
          <w:sz w:val="24"/>
          <w:szCs w:val="24"/>
        </w:rPr>
      </w:pPr>
      <w:r w:rsidRPr="009552EB">
        <w:rPr>
          <w:sz w:val="24"/>
          <w:szCs w:val="24"/>
        </w:rPr>
        <w:lastRenderedPageBreak/>
        <w:t>Co se týká výdajů, zde největší část tvoří převod částky na posílení příjmů hlavní činnosti. Další významnou částk</w:t>
      </w:r>
      <w:r w:rsidR="00F53AA0" w:rsidRPr="009552EB">
        <w:rPr>
          <w:sz w:val="24"/>
          <w:szCs w:val="24"/>
        </w:rPr>
        <w:t>o</w:t>
      </w:r>
      <w:r w:rsidR="00566073" w:rsidRPr="009552EB">
        <w:rPr>
          <w:sz w:val="24"/>
          <w:szCs w:val="24"/>
        </w:rPr>
        <w:t>u je</w:t>
      </w:r>
      <w:r w:rsidRPr="009552EB">
        <w:rPr>
          <w:sz w:val="24"/>
          <w:szCs w:val="24"/>
        </w:rPr>
        <w:t xml:space="preserve"> </w:t>
      </w:r>
      <w:r w:rsidR="001971AB" w:rsidRPr="009552EB">
        <w:rPr>
          <w:sz w:val="24"/>
          <w:szCs w:val="24"/>
        </w:rPr>
        <w:t xml:space="preserve">daň z příjmu a v neposlední řadě to jsou i </w:t>
      </w:r>
      <w:r w:rsidR="00B057D4" w:rsidRPr="009552EB">
        <w:rPr>
          <w:sz w:val="24"/>
          <w:szCs w:val="24"/>
        </w:rPr>
        <w:t xml:space="preserve">mzdové </w:t>
      </w:r>
      <w:r w:rsidR="001971AB" w:rsidRPr="009552EB">
        <w:rPr>
          <w:sz w:val="24"/>
          <w:szCs w:val="24"/>
        </w:rPr>
        <w:t>náklady.</w:t>
      </w:r>
    </w:p>
    <w:p w14:paraId="34D8A4DA" w14:textId="77777777" w:rsidR="002D2223" w:rsidRPr="009552EB" w:rsidRDefault="00215705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Částka určená na odvod daně z příjmu nám </w:t>
      </w:r>
      <w:r w:rsidR="001971AB" w:rsidRPr="009552EB">
        <w:rPr>
          <w:sz w:val="24"/>
          <w:szCs w:val="24"/>
        </w:rPr>
        <w:t xml:space="preserve">však </w:t>
      </w:r>
      <w:r w:rsidR="000F0D8C" w:rsidRPr="009552EB">
        <w:rPr>
          <w:sz w:val="24"/>
          <w:szCs w:val="24"/>
        </w:rPr>
        <w:t>bývá zpravidla</w:t>
      </w:r>
      <w:r w:rsidRPr="009552EB">
        <w:rPr>
          <w:sz w:val="24"/>
          <w:szCs w:val="24"/>
        </w:rPr>
        <w:t xml:space="preserve"> vrácena formou neinvestiční dotace do rozpočtu HČ. </w:t>
      </w:r>
    </w:p>
    <w:sectPr w:rsidR="002D2223" w:rsidRPr="009552EB" w:rsidSect="0001167A">
      <w:headerReference w:type="default" r:id="rId30"/>
      <w:footerReference w:type="default" r:id="rId31"/>
      <w:pgSz w:w="11907" w:h="16840" w:code="9"/>
      <w:pgMar w:top="1418" w:right="1247" w:bottom="1418" w:left="1247" w:header="709" w:footer="0" w:gutter="0"/>
      <w:cols w:space="79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0FDEE" w14:textId="77777777" w:rsidR="00676399" w:rsidRDefault="00676399">
      <w:r>
        <w:separator/>
      </w:r>
    </w:p>
  </w:endnote>
  <w:endnote w:type="continuationSeparator" w:id="0">
    <w:p w14:paraId="3EBDCB78" w14:textId="77777777" w:rsidR="00676399" w:rsidRDefault="0067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25ADD" w14:textId="293C99CD" w:rsidR="00654A7A" w:rsidRDefault="00654A7A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1C6B">
      <w:rPr>
        <w:noProof/>
      </w:rPr>
      <w:t>21</w:t>
    </w:r>
    <w:r>
      <w:rPr>
        <w:noProof/>
      </w:rPr>
      <w:fldChar w:fldCharType="end"/>
    </w:r>
  </w:p>
  <w:p w14:paraId="1344CC4B" w14:textId="77777777" w:rsidR="00654A7A" w:rsidRDefault="00654A7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EF3A9" w14:textId="77777777" w:rsidR="00676399" w:rsidRDefault="00676399">
      <w:r>
        <w:separator/>
      </w:r>
    </w:p>
  </w:footnote>
  <w:footnote w:type="continuationSeparator" w:id="0">
    <w:p w14:paraId="6CC15E25" w14:textId="77777777" w:rsidR="00676399" w:rsidRDefault="00676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AC51" w14:textId="3CA48883" w:rsidR="00654A7A" w:rsidRPr="009552EB" w:rsidRDefault="00654A7A">
    <w:pPr>
      <w:pStyle w:val="Zhlav"/>
      <w:rPr>
        <w:snapToGrid w:val="0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02D493" wp14:editId="21A2034A">
              <wp:simplePos x="0" y="0"/>
              <wp:positionH relativeFrom="column">
                <wp:posOffset>-115570</wp:posOffset>
              </wp:positionH>
              <wp:positionV relativeFrom="paragraph">
                <wp:posOffset>263525</wp:posOffset>
              </wp:positionV>
              <wp:extent cx="6308725" cy="0"/>
              <wp:effectExtent l="9525" t="8890" r="6350" b="1016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66725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9.1pt;margin-top:20.75pt;width:496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8JeHAIAADs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"/>
          </w:pict>
        </mc:Fallback>
      </mc:AlternateContent>
    </w:r>
    <w:r>
      <w:rPr>
        <w:snapToGrid w:val="0"/>
        <w:sz w:val="16"/>
        <w:szCs w:val="16"/>
      </w:rPr>
      <w:t>Návrh rozpočtu MČ Praha-Čakovice na rok 202</w:t>
    </w:r>
    <w:r w:rsidR="004468E7">
      <w:rPr>
        <w:snapToGrid w:val="0"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7BD0"/>
    <w:multiLevelType w:val="multilevel"/>
    <w:tmpl w:val="2D64C27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3963C0"/>
    <w:multiLevelType w:val="hybridMultilevel"/>
    <w:tmpl w:val="0D32A9CA"/>
    <w:lvl w:ilvl="0" w:tplc="CA9EA9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80FD1"/>
    <w:multiLevelType w:val="hybridMultilevel"/>
    <w:tmpl w:val="F806A1FC"/>
    <w:lvl w:ilvl="0" w:tplc="571C3F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B1408"/>
    <w:multiLevelType w:val="hybridMultilevel"/>
    <w:tmpl w:val="65B2B5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DA"/>
    <w:rsid w:val="00006FA4"/>
    <w:rsid w:val="00007020"/>
    <w:rsid w:val="00007EFE"/>
    <w:rsid w:val="00010F68"/>
    <w:rsid w:val="0001167A"/>
    <w:rsid w:val="00012516"/>
    <w:rsid w:val="000126A1"/>
    <w:rsid w:val="000164C3"/>
    <w:rsid w:val="00021BC2"/>
    <w:rsid w:val="00021EF3"/>
    <w:rsid w:val="00031FEE"/>
    <w:rsid w:val="00036177"/>
    <w:rsid w:val="0003662F"/>
    <w:rsid w:val="0004489B"/>
    <w:rsid w:val="00055785"/>
    <w:rsid w:val="00062E20"/>
    <w:rsid w:val="00063B39"/>
    <w:rsid w:val="000654D5"/>
    <w:rsid w:val="00066001"/>
    <w:rsid w:val="000669BF"/>
    <w:rsid w:val="00071C50"/>
    <w:rsid w:val="00084477"/>
    <w:rsid w:val="000C2A39"/>
    <w:rsid w:val="000C40AE"/>
    <w:rsid w:val="000C5D32"/>
    <w:rsid w:val="000C7067"/>
    <w:rsid w:val="000C7131"/>
    <w:rsid w:val="000D266C"/>
    <w:rsid w:val="000E64CD"/>
    <w:rsid w:val="000F0D8C"/>
    <w:rsid w:val="000F1EC5"/>
    <w:rsid w:val="000F2DE8"/>
    <w:rsid w:val="000F4925"/>
    <w:rsid w:val="000F678B"/>
    <w:rsid w:val="000F7915"/>
    <w:rsid w:val="00102B43"/>
    <w:rsid w:val="0010321C"/>
    <w:rsid w:val="001052D8"/>
    <w:rsid w:val="001075B7"/>
    <w:rsid w:val="00111CE0"/>
    <w:rsid w:val="00117212"/>
    <w:rsid w:val="00126DCE"/>
    <w:rsid w:val="00133926"/>
    <w:rsid w:val="00137120"/>
    <w:rsid w:val="00140DCC"/>
    <w:rsid w:val="00153023"/>
    <w:rsid w:val="00157FDC"/>
    <w:rsid w:val="001673E9"/>
    <w:rsid w:val="0017580C"/>
    <w:rsid w:val="00181B26"/>
    <w:rsid w:val="00192D9F"/>
    <w:rsid w:val="001931FA"/>
    <w:rsid w:val="00195A02"/>
    <w:rsid w:val="001971AB"/>
    <w:rsid w:val="001A225B"/>
    <w:rsid w:val="001A4101"/>
    <w:rsid w:val="001A693D"/>
    <w:rsid w:val="001B170C"/>
    <w:rsid w:val="001B45DD"/>
    <w:rsid w:val="001B7951"/>
    <w:rsid w:val="001D0210"/>
    <w:rsid w:val="001D33A2"/>
    <w:rsid w:val="001D7609"/>
    <w:rsid w:val="001E238C"/>
    <w:rsid w:val="001E3580"/>
    <w:rsid w:val="001E52FF"/>
    <w:rsid w:val="001E6149"/>
    <w:rsid w:val="002033EB"/>
    <w:rsid w:val="002073BA"/>
    <w:rsid w:val="00214442"/>
    <w:rsid w:val="00215705"/>
    <w:rsid w:val="002215A6"/>
    <w:rsid w:val="00225138"/>
    <w:rsid w:val="0022718F"/>
    <w:rsid w:val="002279B5"/>
    <w:rsid w:val="00233002"/>
    <w:rsid w:val="00236804"/>
    <w:rsid w:val="002538F3"/>
    <w:rsid w:val="00270279"/>
    <w:rsid w:val="00270E8B"/>
    <w:rsid w:val="002737BC"/>
    <w:rsid w:val="00277A41"/>
    <w:rsid w:val="00292541"/>
    <w:rsid w:val="00293F48"/>
    <w:rsid w:val="0029473C"/>
    <w:rsid w:val="002A121E"/>
    <w:rsid w:val="002B7A5B"/>
    <w:rsid w:val="002C338D"/>
    <w:rsid w:val="002C45B0"/>
    <w:rsid w:val="002C565B"/>
    <w:rsid w:val="002D0367"/>
    <w:rsid w:val="002D2223"/>
    <w:rsid w:val="002D5090"/>
    <w:rsid w:val="002D6AEE"/>
    <w:rsid w:val="002E06D8"/>
    <w:rsid w:val="002E3E34"/>
    <w:rsid w:val="002E6480"/>
    <w:rsid w:val="002F0EA7"/>
    <w:rsid w:val="002F3A53"/>
    <w:rsid w:val="003052F3"/>
    <w:rsid w:val="00315119"/>
    <w:rsid w:val="0031660E"/>
    <w:rsid w:val="0032343C"/>
    <w:rsid w:val="00323EC1"/>
    <w:rsid w:val="003414C2"/>
    <w:rsid w:val="00346471"/>
    <w:rsid w:val="003467BA"/>
    <w:rsid w:val="00347D35"/>
    <w:rsid w:val="003507FC"/>
    <w:rsid w:val="003517B2"/>
    <w:rsid w:val="00352374"/>
    <w:rsid w:val="00356DA9"/>
    <w:rsid w:val="003604D3"/>
    <w:rsid w:val="00374784"/>
    <w:rsid w:val="00375C17"/>
    <w:rsid w:val="00380DB3"/>
    <w:rsid w:val="0038735E"/>
    <w:rsid w:val="003900DA"/>
    <w:rsid w:val="003A0916"/>
    <w:rsid w:val="003A098A"/>
    <w:rsid w:val="003A10A2"/>
    <w:rsid w:val="003B2EC9"/>
    <w:rsid w:val="003B4503"/>
    <w:rsid w:val="003B4DBE"/>
    <w:rsid w:val="003B66CB"/>
    <w:rsid w:val="003C438B"/>
    <w:rsid w:val="003D19BF"/>
    <w:rsid w:val="003E47A3"/>
    <w:rsid w:val="003E62A8"/>
    <w:rsid w:val="00402F9A"/>
    <w:rsid w:val="00405D6C"/>
    <w:rsid w:val="004118C9"/>
    <w:rsid w:val="004127EE"/>
    <w:rsid w:val="00415726"/>
    <w:rsid w:val="00417116"/>
    <w:rsid w:val="004173A7"/>
    <w:rsid w:val="00420A4C"/>
    <w:rsid w:val="00427F6C"/>
    <w:rsid w:val="0044610D"/>
    <w:rsid w:val="004468E7"/>
    <w:rsid w:val="00447D62"/>
    <w:rsid w:val="0046000B"/>
    <w:rsid w:val="00462CB2"/>
    <w:rsid w:val="00463115"/>
    <w:rsid w:val="004643EE"/>
    <w:rsid w:val="00465361"/>
    <w:rsid w:val="00470931"/>
    <w:rsid w:val="004905E5"/>
    <w:rsid w:val="0049389E"/>
    <w:rsid w:val="0049668B"/>
    <w:rsid w:val="00497311"/>
    <w:rsid w:val="004A1E4C"/>
    <w:rsid w:val="004B1EB9"/>
    <w:rsid w:val="004B3873"/>
    <w:rsid w:val="004C31A0"/>
    <w:rsid w:val="004C4B66"/>
    <w:rsid w:val="004C4F48"/>
    <w:rsid w:val="004C5884"/>
    <w:rsid w:val="004E1431"/>
    <w:rsid w:val="004E42FA"/>
    <w:rsid w:val="004E7719"/>
    <w:rsid w:val="004E7FF8"/>
    <w:rsid w:val="004F7D57"/>
    <w:rsid w:val="0050557D"/>
    <w:rsid w:val="00507B61"/>
    <w:rsid w:val="005128A5"/>
    <w:rsid w:val="0051448A"/>
    <w:rsid w:val="00514877"/>
    <w:rsid w:val="00524343"/>
    <w:rsid w:val="005311A6"/>
    <w:rsid w:val="005314B5"/>
    <w:rsid w:val="00541264"/>
    <w:rsid w:val="00543F02"/>
    <w:rsid w:val="00557CB4"/>
    <w:rsid w:val="00557CDC"/>
    <w:rsid w:val="0056058E"/>
    <w:rsid w:val="00563692"/>
    <w:rsid w:val="00566073"/>
    <w:rsid w:val="00576080"/>
    <w:rsid w:val="00577D7C"/>
    <w:rsid w:val="00581681"/>
    <w:rsid w:val="005872DF"/>
    <w:rsid w:val="00590224"/>
    <w:rsid w:val="00597BE0"/>
    <w:rsid w:val="005A1FD0"/>
    <w:rsid w:val="005A29D7"/>
    <w:rsid w:val="005A4995"/>
    <w:rsid w:val="005A4E6A"/>
    <w:rsid w:val="005A7338"/>
    <w:rsid w:val="005B172A"/>
    <w:rsid w:val="005C14FB"/>
    <w:rsid w:val="005D2F9A"/>
    <w:rsid w:val="005D3B96"/>
    <w:rsid w:val="005E1D7C"/>
    <w:rsid w:val="005F41F4"/>
    <w:rsid w:val="005F7017"/>
    <w:rsid w:val="00601C1C"/>
    <w:rsid w:val="00607D2A"/>
    <w:rsid w:val="006165B3"/>
    <w:rsid w:val="00626126"/>
    <w:rsid w:val="0062641F"/>
    <w:rsid w:val="006360B5"/>
    <w:rsid w:val="00640878"/>
    <w:rsid w:val="00641539"/>
    <w:rsid w:val="00641E9F"/>
    <w:rsid w:val="006435D4"/>
    <w:rsid w:val="006449D6"/>
    <w:rsid w:val="00652E5E"/>
    <w:rsid w:val="00653EB8"/>
    <w:rsid w:val="00654A7A"/>
    <w:rsid w:val="00660724"/>
    <w:rsid w:val="006610E1"/>
    <w:rsid w:val="00665E5D"/>
    <w:rsid w:val="00666109"/>
    <w:rsid w:val="00676399"/>
    <w:rsid w:val="00680C7F"/>
    <w:rsid w:val="00681059"/>
    <w:rsid w:val="00682256"/>
    <w:rsid w:val="00691714"/>
    <w:rsid w:val="00691744"/>
    <w:rsid w:val="006923B2"/>
    <w:rsid w:val="00692B0F"/>
    <w:rsid w:val="00695311"/>
    <w:rsid w:val="006A22ED"/>
    <w:rsid w:val="006A4B8F"/>
    <w:rsid w:val="006A5546"/>
    <w:rsid w:val="006A63C5"/>
    <w:rsid w:val="006A784A"/>
    <w:rsid w:val="006B019C"/>
    <w:rsid w:val="006B0C70"/>
    <w:rsid w:val="006B3C80"/>
    <w:rsid w:val="006B3D16"/>
    <w:rsid w:val="006C21CD"/>
    <w:rsid w:val="006D6F6B"/>
    <w:rsid w:val="006D7831"/>
    <w:rsid w:val="006F124C"/>
    <w:rsid w:val="006F6D3D"/>
    <w:rsid w:val="0070013C"/>
    <w:rsid w:val="007027C1"/>
    <w:rsid w:val="00706ACA"/>
    <w:rsid w:val="00722C5A"/>
    <w:rsid w:val="00723388"/>
    <w:rsid w:val="007263F4"/>
    <w:rsid w:val="00730487"/>
    <w:rsid w:val="007458B1"/>
    <w:rsid w:val="007462F3"/>
    <w:rsid w:val="00754261"/>
    <w:rsid w:val="00754AF3"/>
    <w:rsid w:val="00762375"/>
    <w:rsid w:val="00763EAB"/>
    <w:rsid w:val="00766941"/>
    <w:rsid w:val="00770F02"/>
    <w:rsid w:val="00776786"/>
    <w:rsid w:val="00777550"/>
    <w:rsid w:val="00783CBB"/>
    <w:rsid w:val="0078563F"/>
    <w:rsid w:val="00787387"/>
    <w:rsid w:val="0079332B"/>
    <w:rsid w:val="00796D77"/>
    <w:rsid w:val="007A503C"/>
    <w:rsid w:val="007A557D"/>
    <w:rsid w:val="007B3210"/>
    <w:rsid w:val="007B70F5"/>
    <w:rsid w:val="007C3485"/>
    <w:rsid w:val="007C6F63"/>
    <w:rsid w:val="007C7870"/>
    <w:rsid w:val="007D5B75"/>
    <w:rsid w:val="007D674E"/>
    <w:rsid w:val="007E55F6"/>
    <w:rsid w:val="007F7F20"/>
    <w:rsid w:val="008005AB"/>
    <w:rsid w:val="00807680"/>
    <w:rsid w:val="00812022"/>
    <w:rsid w:val="008150A3"/>
    <w:rsid w:val="00821880"/>
    <w:rsid w:val="00822A9F"/>
    <w:rsid w:val="00822B06"/>
    <w:rsid w:val="00835071"/>
    <w:rsid w:val="008358E9"/>
    <w:rsid w:val="00846E1A"/>
    <w:rsid w:val="00850C77"/>
    <w:rsid w:val="00855438"/>
    <w:rsid w:val="008631FB"/>
    <w:rsid w:val="00867747"/>
    <w:rsid w:val="00867966"/>
    <w:rsid w:val="00886652"/>
    <w:rsid w:val="0089041B"/>
    <w:rsid w:val="008918E6"/>
    <w:rsid w:val="00896BB1"/>
    <w:rsid w:val="008A0784"/>
    <w:rsid w:val="008A21E9"/>
    <w:rsid w:val="008B2D5A"/>
    <w:rsid w:val="008B435D"/>
    <w:rsid w:val="008C0633"/>
    <w:rsid w:val="008C1D7F"/>
    <w:rsid w:val="008C2349"/>
    <w:rsid w:val="008C3ECB"/>
    <w:rsid w:val="008F161F"/>
    <w:rsid w:val="008F1938"/>
    <w:rsid w:val="008F392A"/>
    <w:rsid w:val="009022B5"/>
    <w:rsid w:val="009041FE"/>
    <w:rsid w:val="009131AF"/>
    <w:rsid w:val="00920616"/>
    <w:rsid w:val="00935792"/>
    <w:rsid w:val="009360C4"/>
    <w:rsid w:val="00937335"/>
    <w:rsid w:val="00937D09"/>
    <w:rsid w:val="00941C33"/>
    <w:rsid w:val="00943C58"/>
    <w:rsid w:val="009552EB"/>
    <w:rsid w:val="0095639E"/>
    <w:rsid w:val="00960DDE"/>
    <w:rsid w:val="009744BB"/>
    <w:rsid w:val="00980744"/>
    <w:rsid w:val="00981E2A"/>
    <w:rsid w:val="00982121"/>
    <w:rsid w:val="00986D9D"/>
    <w:rsid w:val="0099052C"/>
    <w:rsid w:val="0099475F"/>
    <w:rsid w:val="00997508"/>
    <w:rsid w:val="009A6996"/>
    <w:rsid w:val="009B49E6"/>
    <w:rsid w:val="009B54A2"/>
    <w:rsid w:val="009B675E"/>
    <w:rsid w:val="009C42C4"/>
    <w:rsid w:val="009D47F8"/>
    <w:rsid w:val="009D6ED9"/>
    <w:rsid w:val="009F03EF"/>
    <w:rsid w:val="009F5B5E"/>
    <w:rsid w:val="009F5B7E"/>
    <w:rsid w:val="00A014DF"/>
    <w:rsid w:val="00A077E1"/>
    <w:rsid w:val="00A11E6A"/>
    <w:rsid w:val="00A13832"/>
    <w:rsid w:val="00A150A6"/>
    <w:rsid w:val="00A22752"/>
    <w:rsid w:val="00A26EE5"/>
    <w:rsid w:val="00A30243"/>
    <w:rsid w:val="00A36802"/>
    <w:rsid w:val="00A539C1"/>
    <w:rsid w:val="00A548C8"/>
    <w:rsid w:val="00A54DAE"/>
    <w:rsid w:val="00A57D65"/>
    <w:rsid w:val="00A6603D"/>
    <w:rsid w:val="00A7079F"/>
    <w:rsid w:val="00A718A2"/>
    <w:rsid w:val="00A7414E"/>
    <w:rsid w:val="00A85098"/>
    <w:rsid w:val="00A854AE"/>
    <w:rsid w:val="00A968A5"/>
    <w:rsid w:val="00A9735B"/>
    <w:rsid w:val="00A97AB1"/>
    <w:rsid w:val="00AA0C90"/>
    <w:rsid w:val="00AA499B"/>
    <w:rsid w:val="00AA5DAF"/>
    <w:rsid w:val="00AB3B3A"/>
    <w:rsid w:val="00AC1BB0"/>
    <w:rsid w:val="00AC3D19"/>
    <w:rsid w:val="00AC4035"/>
    <w:rsid w:val="00AC5667"/>
    <w:rsid w:val="00AD5CDB"/>
    <w:rsid w:val="00AE07EC"/>
    <w:rsid w:val="00AE3C60"/>
    <w:rsid w:val="00AF03BD"/>
    <w:rsid w:val="00B04DCB"/>
    <w:rsid w:val="00B057D4"/>
    <w:rsid w:val="00B1403C"/>
    <w:rsid w:val="00B2065D"/>
    <w:rsid w:val="00B25517"/>
    <w:rsid w:val="00B32D12"/>
    <w:rsid w:val="00B33500"/>
    <w:rsid w:val="00B41B17"/>
    <w:rsid w:val="00B465DC"/>
    <w:rsid w:val="00B61C32"/>
    <w:rsid w:val="00B61C6B"/>
    <w:rsid w:val="00B6449B"/>
    <w:rsid w:val="00B655DE"/>
    <w:rsid w:val="00B73FF8"/>
    <w:rsid w:val="00B7737E"/>
    <w:rsid w:val="00B803DE"/>
    <w:rsid w:val="00B81095"/>
    <w:rsid w:val="00B81BD2"/>
    <w:rsid w:val="00B832D5"/>
    <w:rsid w:val="00B859ED"/>
    <w:rsid w:val="00B9525D"/>
    <w:rsid w:val="00B9564A"/>
    <w:rsid w:val="00B9646F"/>
    <w:rsid w:val="00BA2438"/>
    <w:rsid w:val="00BA3225"/>
    <w:rsid w:val="00BA373C"/>
    <w:rsid w:val="00BB0229"/>
    <w:rsid w:val="00BB0B2E"/>
    <w:rsid w:val="00BB3D55"/>
    <w:rsid w:val="00BB5AAD"/>
    <w:rsid w:val="00BC319D"/>
    <w:rsid w:val="00BC4F72"/>
    <w:rsid w:val="00BC79CF"/>
    <w:rsid w:val="00BD545B"/>
    <w:rsid w:val="00BE07E3"/>
    <w:rsid w:val="00BE13C3"/>
    <w:rsid w:val="00BE7CA4"/>
    <w:rsid w:val="00BF02EA"/>
    <w:rsid w:val="00BF378F"/>
    <w:rsid w:val="00C002F9"/>
    <w:rsid w:val="00C008DD"/>
    <w:rsid w:val="00C04223"/>
    <w:rsid w:val="00C04633"/>
    <w:rsid w:val="00C05337"/>
    <w:rsid w:val="00C1220B"/>
    <w:rsid w:val="00C12542"/>
    <w:rsid w:val="00C1722A"/>
    <w:rsid w:val="00C25115"/>
    <w:rsid w:val="00C33788"/>
    <w:rsid w:val="00C36EB5"/>
    <w:rsid w:val="00C4319E"/>
    <w:rsid w:val="00C43C03"/>
    <w:rsid w:val="00C45472"/>
    <w:rsid w:val="00C4743A"/>
    <w:rsid w:val="00C51834"/>
    <w:rsid w:val="00C5272B"/>
    <w:rsid w:val="00C555F6"/>
    <w:rsid w:val="00C60620"/>
    <w:rsid w:val="00C663E0"/>
    <w:rsid w:val="00C70EBF"/>
    <w:rsid w:val="00C8119F"/>
    <w:rsid w:val="00C813AE"/>
    <w:rsid w:val="00C9031C"/>
    <w:rsid w:val="00CA25C3"/>
    <w:rsid w:val="00CA3476"/>
    <w:rsid w:val="00CA3C2A"/>
    <w:rsid w:val="00CB6577"/>
    <w:rsid w:val="00CC1EBE"/>
    <w:rsid w:val="00CD26AC"/>
    <w:rsid w:val="00CD3550"/>
    <w:rsid w:val="00CD4CBA"/>
    <w:rsid w:val="00CD69F9"/>
    <w:rsid w:val="00CE5E52"/>
    <w:rsid w:val="00CE6F5E"/>
    <w:rsid w:val="00D01666"/>
    <w:rsid w:val="00D115F5"/>
    <w:rsid w:val="00D13C6E"/>
    <w:rsid w:val="00D13E9A"/>
    <w:rsid w:val="00D173AA"/>
    <w:rsid w:val="00D229B2"/>
    <w:rsid w:val="00D3096B"/>
    <w:rsid w:val="00D3286C"/>
    <w:rsid w:val="00D40949"/>
    <w:rsid w:val="00D42583"/>
    <w:rsid w:val="00D42E25"/>
    <w:rsid w:val="00D47C38"/>
    <w:rsid w:val="00D47CC0"/>
    <w:rsid w:val="00D5406B"/>
    <w:rsid w:val="00D67F41"/>
    <w:rsid w:val="00D76B22"/>
    <w:rsid w:val="00D81E2E"/>
    <w:rsid w:val="00D85B89"/>
    <w:rsid w:val="00DA2E1F"/>
    <w:rsid w:val="00DA7BA8"/>
    <w:rsid w:val="00DB2405"/>
    <w:rsid w:val="00DB6FAA"/>
    <w:rsid w:val="00DB71F1"/>
    <w:rsid w:val="00DC111E"/>
    <w:rsid w:val="00DC1ABC"/>
    <w:rsid w:val="00DC40D4"/>
    <w:rsid w:val="00DE6FAC"/>
    <w:rsid w:val="00DF0388"/>
    <w:rsid w:val="00E03C36"/>
    <w:rsid w:val="00E05139"/>
    <w:rsid w:val="00E16D22"/>
    <w:rsid w:val="00E30171"/>
    <w:rsid w:val="00E32259"/>
    <w:rsid w:val="00E326C0"/>
    <w:rsid w:val="00E40358"/>
    <w:rsid w:val="00E46396"/>
    <w:rsid w:val="00E50754"/>
    <w:rsid w:val="00E51F39"/>
    <w:rsid w:val="00E55796"/>
    <w:rsid w:val="00E56B92"/>
    <w:rsid w:val="00E64535"/>
    <w:rsid w:val="00E64D5A"/>
    <w:rsid w:val="00E64DB8"/>
    <w:rsid w:val="00E64F9F"/>
    <w:rsid w:val="00E76538"/>
    <w:rsid w:val="00E84C19"/>
    <w:rsid w:val="00E850EF"/>
    <w:rsid w:val="00E85953"/>
    <w:rsid w:val="00E9089B"/>
    <w:rsid w:val="00E928AF"/>
    <w:rsid w:val="00E937F0"/>
    <w:rsid w:val="00EA2D01"/>
    <w:rsid w:val="00EB561E"/>
    <w:rsid w:val="00EC76CE"/>
    <w:rsid w:val="00EC78AE"/>
    <w:rsid w:val="00ED009F"/>
    <w:rsid w:val="00ED0D1D"/>
    <w:rsid w:val="00ED0EE0"/>
    <w:rsid w:val="00EE000F"/>
    <w:rsid w:val="00EE027F"/>
    <w:rsid w:val="00F12FB9"/>
    <w:rsid w:val="00F16FA8"/>
    <w:rsid w:val="00F2674A"/>
    <w:rsid w:val="00F30BA1"/>
    <w:rsid w:val="00F37CC6"/>
    <w:rsid w:val="00F40702"/>
    <w:rsid w:val="00F40A7A"/>
    <w:rsid w:val="00F41FBF"/>
    <w:rsid w:val="00F430B8"/>
    <w:rsid w:val="00F45226"/>
    <w:rsid w:val="00F53AA0"/>
    <w:rsid w:val="00F544E1"/>
    <w:rsid w:val="00F55D3A"/>
    <w:rsid w:val="00F6484D"/>
    <w:rsid w:val="00F70DCA"/>
    <w:rsid w:val="00F747BC"/>
    <w:rsid w:val="00F7750B"/>
    <w:rsid w:val="00F8312D"/>
    <w:rsid w:val="00F977C2"/>
    <w:rsid w:val="00FA099F"/>
    <w:rsid w:val="00FB1FE0"/>
    <w:rsid w:val="00FB7E06"/>
    <w:rsid w:val="00FC1EE7"/>
    <w:rsid w:val="00FC3BA2"/>
    <w:rsid w:val="00FC50D2"/>
    <w:rsid w:val="00FC6EA7"/>
    <w:rsid w:val="00FD2408"/>
    <w:rsid w:val="00FD4BB4"/>
    <w:rsid w:val="00FE0B22"/>
    <w:rsid w:val="00FE0F8A"/>
    <w:rsid w:val="00FE42E6"/>
    <w:rsid w:val="00FE65DA"/>
    <w:rsid w:val="00FE6A2A"/>
    <w:rsid w:val="00FF06B2"/>
    <w:rsid w:val="00FF420D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16DC349"/>
  <w15:docId w15:val="{E56FC22E-ECA8-4D8C-ADB2-B452C0F8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65DA"/>
    <w:pPr>
      <w:spacing w:before="120" w:after="120" w:line="36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autoRedefine/>
    <w:qFormat/>
    <w:rsid w:val="009552EB"/>
    <w:pPr>
      <w:keepNext/>
      <w:numPr>
        <w:numId w:val="2"/>
      </w:numPr>
      <w:outlineLvl w:val="0"/>
    </w:pPr>
    <w:rPr>
      <w:b/>
      <w:sz w:val="36"/>
      <w:u w:val="single"/>
    </w:rPr>
  </w:style>
  <w:style w:type="paragraph" w:styleId="Nadpis2">
    <w:name w:val="heading 2"/>
    <w:basedOn w:val="Normln"/>
    <w:next w:val="Normln"/>
    <w:link w:val="Nadpis2Char"/>
    <w:autoRedefine/>
    <w:qFormat/>
    <w:rsid w:val="00FE65DA"/>
    <w:pPr>
      <w:keepNext/>
      <w:numPr>
        <w:ilvl w:val="1"/>
        <w:numId w:val="2"/>
      </w:numPr>
      <w:outlineLvl w:val="1"/>
    </w:pPr>
    <w:rPr>
      <w:b/>
      <w:i/>
      <w:sz w:val="28"/>
      <w:u w:val="single"/>
    </w:rPr>
  </w:style>
  <w:style w:type="paragraph" w:styleId="Nadpis3">
    <w:name w:val="heading 3"/>
    <w:basedOn w:val="Normln"/>
    <w:next w:val="Normln"/>
    <w:autoRedefine/>
    <w:qFormat/>
    <w:rsid w:val="00FE65DA"/>
    <w:pPr>
      <w:keepNext/>
      <w:numPr>
        <w:ilvl w:val="2"/>
        <w:numId w:val="2"/>
      </w:numPr>
      <w:tabs>
        <w:tab w:val="decimal" w:pos="1134"/>
      </w:tabs>
      <w:ind w:left="0" w:firstLine="0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rsid w:val="00FE65DA"/>
    <w:pPr>
      <w:keepNext/>
      <w:numPr>
        <w:ilvl w:val="3"/>
        <w:numId w:val="2"/>
      </w:numPr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E65DA"/>
    <w:pPr>
      <w:keepNext/>
      <w:numPr>
        <w:ilvl w:val="4"/>
        <w:numId w:val="2"/>
      </w:numPr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FE65DA"/>
    <w:pPr>
      <w:keepNext/>
      <w:numPr>
        <w:ilvl w:val="5"/>
        <w:numId w:val="2"/>
      </w:numPr>
      <w:tabs>
        <w:tab w:val="left" w:pos="6237"/>
      </w:tabs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FE65DA"/>
    <w:pPr>
      <w:keepNext/>
      <w:numPr>
        <w:ilvl w:val="6"/>
        <w:numId w:val="2"/>
      </w:numPr>
      <w:tabs>
        <w:tab w:val="left" w:pos="6237"/>
      </w:tabs>
      <w:jc w:val="center"/>
      <w:outlineLvl w:val="6"/>
    </w:pPr>
    <w:rPr>
      <w:b/>
      <w:u w:val="single"/>
    </w:rPr>
  </w:style>
  <w:style w:type="paragraph" w:styleId="Nadpis8">
    <w:name w:val="heading 8"/>
    <w:basedOn w:val="Normln"/>
    <w:next w:val="Normln"/>
    <w:qFormat/>
    <w:rsid w:val="00FE65DA"/>
    <w:pPr>
      <w:keepNext/>
      <w:numPr>
        <w:ilvl w:val="7"/>
        <w:numId w:val="2"/>
      </w:numPr>
      <w:jc w:val="center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qFormat/>
    <w:rsid w:val="00FE65DA"/>
    <w:pPr>
      <w:keepNext/>
      <w:numPr>
        <w:ilvl w:val="8"/>
        <w:numId w:val="2"/>
      </w:numPr>
      <w:outlineLvl w:val="8"/>
    </w:pPr>
    <w:rPr>
      <w:rFonts w:ascii="Arial" w:hAnsi="Arial"/>
      <w:b/>
      <w:snapToGrid w:val="0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E65D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DA"/>
  </w:style>
  <w:style w:type="paragraph" w:styleId="Zpat">
    <w:name w:val="footer"/>
    <w:basedOn w:val="Normln"/>
    <w:link w:val="ZpatChar"/>
    <w:rsid w:val="00FE65DA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FE65DA"/>
    <w:pPr>
      <w:tabs>
        <w:tab w:val="left" w:pos="480"/>
        <w:tab w:val="right" w:leader="underscore" w:pos="9403"/>
      </w:tabs>
      <w:spacing w:before="0" w:after="0" w:line="240" w:lineRule="auto"/>
    </w:pPr>
    <w:rPr>
      <w:b/>
      <w:bCs/>
      <w:i/>
      <w:iCs/>
      <w:szCs w:val="24"/>
    </w:rPr>
  </w:style>
  <w:style w:type="paragraph" w:styleId="Obsah2">
    <w:name w:val="toc 2"/>
    <w:basedOn w:val="Normln"/>
    <w:next w:val="Normln"/>
    <w:autoRedefine/>
    <w:uiPriority w:val="39"/>
    <w:rsid w:val="00FE65DA"/>
    <w:pPr>
      <w:tabs>
        <w:tab w:val="left" w:pos="960"/>
        <w:tab w:val="right" w:leader="underscore" w:pos="9403"/>
      </w:tabs>
      <w:spacing w:before="0" w:after="0" w:line="240" w:lineRule="auto"/>
      <w:ind w:left="238"/>
    </w:pPr>
    <w:rPr>
      <w:b/>
      <w:bC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FE65DA"/>
    <w:pPr>
      <w:ind w:left="480"/>
    </w:pPr>
  </w:style>
  <w:style w:type="character" w:styleId="Hypertextovodkaz">
    <w:name w:val="Hyperlink"/>
    <w:uiPriority w:val="99"/>
    <w:rsid w:val="00FE65D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FE65DA"/>
    <w:pPr>
      <w:spacing w:before="0" w:after="200" w:line="240" w:lineRule="auto"/>
    </w:pPr>
    <w:rPr>
      <w:b/>
      <w:bCs/>
      <w:color w:val="4F81BD"/>
      <w:sz w:val="18"/>
      <w:szCs w:val="18"/>
    </w:rPr>
  </w:style>
  <w:style w:type="character" w:customStyle="1" w:styleId="ZpatChar">
    <w:name w:val="Zápatí Char"/>
    <w:link w:val="Zpat"/>
    <w:rsid w:val="00FE65DA"/>
    <w:rPr>
      <w:rFonts w:ascii="Calibri" w:hAnsi="Calibri"/>
      <w:lang w:val="cs-CZ" w:eastAsia="cs-CZ" w:bidi="ar-SA"/>
    </w:rPr>
  </w:style>
  <w:style w:type="character" w:styleId="Odkaznakoment">
    <w:name w:val="annotation reference"/>
    <w:rsid w:val="00E4639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6396"/>
  </w:style>
  <w:style w:type="character" w:customStyle="1" w:styleId="TextkomenteChar">
    <w:name w:val="Text komentáře Char"/>
    <w:link w:val="Textkomente"/>
    <w:rsid w:val="00E46396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E46396"/>
    <w:rPr>
      <w:b/>
      <w:bCs/>
    </w:rPr>
  </w:style>
  <w:style w:type="character" w:customStyle="1" w:styleId="PedmtkomenteChar">
    <w:name w:val="Předmět komentáře Char"/>
    <w:link w:val="Pedmtkomente"/>
    <w:rsid w:val="00E46396"/>
    <w:rPr>
      <w:rFonts w:ascii="Calibri" w:hAnsi="Calibri"/>
      <w:b/>
      <w:bCs/>
    </w:rPr>
  </w:style>
  <w:style w:type="paragraph" w:styleId="Textbubliny">
    <w:name w:val="Balloon Text"/>
    <w:basedOn w:val="Normln"/>
    <w:link w:val="TextbublinyChar"/>
    <w:rsid w:val="00E46396"/>
    <w:pPr>
      <w:spacing w:before="0"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E4639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9552EB"/>
    <w:rPr>
      <w:rFonts w:ascii="Calibri" w:hAnsi="Calibri"/>
      <w:b/>
      <w:sz w:val="36"/>
      <w:u w:val="single"/>
    </w:rPr>
  </w:style>
  <w:style w:type="character" w:customStyle="1" w:styleId="Nadpis2Char">
    <w:name w:val="Nadpis 2 Char"/>
    <w:link w:val="Nadpis2"/>
    <w:rsid w:val="007E55F6"/>
    <w:rPr>
      <w:rFonts w:ascii="Calibri" w:hAnsi="Calibri"/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E2B25-3905-4ECB-8828-EDF426F7C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3037</Words>
  <Characters>17984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20980</CharactersWithSpaces>
  <SharedDoc>false</SharedDoc>
  <HLinks>
    <vt:vector size="108" baseType="variant"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_Toc62994419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_Toc62994418</vt:lpwstr>
      </vt:variant>
      <vt:variant>
        <vt:i4>2031674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_Toc62994417</vt:lpwstr>
      </vt:variant>
      <vt:variant>
        <vt:i4>1966138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_Toc62994416</vt:lpwstr>
      </vt:variant>
      <vt:variant>
        <vt:i4>1900602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_Toc62994415</vt:lpwstr>
      </vt:variant>
      <vt:variant>
        <vt:i4>1835066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_Toc62994414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_Toc62994413</vt:lpwstr>
      </vt:variant>
      <vt:variant>
        <vt:i4>1703994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_Toc62994412</vt:lpwstr>
      </vt:variant>
      <vt:variant>
        <vt:i4>1638458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_Toc62994411</vt:lpwstr>
      </vt:variant>
      <vt:variant>
        <vt:i4>1572922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_Toc62994410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_Toc62994409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_Toc62994408</vt:lpwstr>
      </vt:variant>
      <vt:variant>
        <vt:i4>2031675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_Toc62994407</vt:lpwstr>
      </vt:variant>
      <vt:variant>
        <vt:i4>1966139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_Toc62994406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_Toc62994405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_Toc62994404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_Toc62994403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_Toc62994402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UMC_VedFO</dc:creator>
  <cp:lastModifiedBy>Zita Žežulková</cp:lastModifiedBy>
  <cp:revision>4</cp:revision>
  <cp:lastPrinted>2026-01-29T12:37:00Z</cp:lastPrinted>
  <dcterms:created xsi:type="dcterms:W3CDTF">2026-01-29T07:52:00Z</dcterms:created>
  <dcterms:modified xsi:type="dcterms:W3CDTF">2026-01-29T12:37:00Z</dcterms:modified>
</cp:coreProperties>
</file>